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2AA86">
      <w:pPr>
        <w:jc w:val="center"/>
        <w:rPr>
          <w:rFonts w:hint="default" w:ascii="仿宋" w:hAnsi="仿宋" w:eastAsia="仿宋" w:cs="仿宋"/>
          <w:b/>
          <w:bCs/>
          <w:sz w:val="36"/>
          <w:szCs w:val="36"/>
          <w:lang w:val="en-US" w:eastAsia="zh-CN"/>
        </w:rPr>
      </w:pPr>
      <w:bookmarkStart w:id="0" w:name="_GoBack"/>
      <w:bookmarkEnd w:id="0"/>
      <w:r>
        <w:rPr>
          <w:rFonts w:hint="eastAsia" w:ascii="仿宋" w:hAnsi="仿宋" w:eastAsia="仿宋" w:cs="仿宋"/>
          <w:b/>
          <w:bCs/>
          <w:sz w:val="36"/>
          <w:szCs w:val="36"/>
          <w:lang w:val="en-US" w:eastAsia="zh-CN"/>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12014200</wp:posOffset>
            </wp:positionV>
            <wp:extent cx="419100" cy="406400"/>
            <wp:effectExtent l="0" t="0" r="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7"/>
                    <a:stretch>
                      <a:fillRect/>
                    </a:stretch>
                  </pic:blipFill>
                  <pic:spPr>
                    <a:xfrm>
                      <a:off x="0" y="0"/>
                      <a:ext cx="419100" cy="406400"/>
                    </a:xfrm>
                    <a:prstGeom prst="rect">
                      <a:avLst/>
                    </a:prstGeom>
                  </pic:spPr>
                </pic:pic>
              </a:graphicData>
            </a:graphic>
          </wp:anchor>
        </w:drawing>
      </w:r>
      <w:r>
        <w:rPr>
          <w:rFonts w:hint="eastAsia" w:ascii="仿宋" w:hAnsi="仿宋" w:eastAsia="仿宋" w:cs="仿宋"/>
          <w:b/>
          <w:bCs/>
          <w:sz w:val="36"/>
          <w:szCs w:val="36"/>
          <w:lang w:val="en-US" w:eastAsia="zh-CN"/>
        </w:rPr>
        <w:t>河南省实验中学</w:t>
      </w:r>
      <w:r>
        <w:rPr>
          <w:rFonts w:hint="eastAsia" w:ascii="仿宋" w:hAnsi="仿宋" w:eastAsia="仿宋" w:cs="仿宋"/>
          <w:b/>
          <w:bCs/>
          <w:sz w:val="28"/>
          <w:szCs w:val="28"/>
          <w:lang w:val="en-US" w:eastAsia="zh-CN"/>
        </w:rPr>
        <w:t>2024-2025</w:t>
      </w:r>
      <w:r>
        <w:rPr>
          <w:rFonts w:hint="eastAsia" w:ascii="仿宋" w:hAnsi="仿宋" w:eastAsia="仿宋" w:cs="仿宋"/>
          <w:b/>
          <w:bCs/>
          <w:sz w:val="36"/>
          <w:szCs w:val="36"/>
          <w:lang w:val="en-US" w:eastAsia="zh-CN"/>
        </w:rPr>
        <w:t>学年下学期第四次模拟考试</w:t>
      </w:r>
    </w:p>
    <w:p w14:paraId="07F58F78">
      <w:pPr>
        <w:jc w:val="center"/>
        <w:rPr>
          <w:rFonts w:ascii="黑体" w:hAnsi="黑体" w:eastAsia="黑体" w:cs="黑体"/>
          <w:b/>
          <w:i w:val="0"/>
          <w:color w:val="000000"/>
          <w:sz w:val="30"/>
        </w:rPr>
      </w:pPr>
      <w:r>
        <w:rPr>
          <w:rFonts w:hint="eastAsia" w:ascii="仿宋" w:hAnsi="仿宋" w:eastAsia="仿宋" w:cs="仿宋"/>
          <w:b/>
          <w:bCs/>
          <w:sz w:val="24"/>
          <w:szCs w:val="24"/>
          <w:lang w:val="en-US" w:eastAsia="zh-CN"/>
        </w:rPr>
        <w:t>高三历史    时间:75分钟   满分:100分</w:t>
      </w:r>
      <w:r>
        <w:rPr>
          <w:rFonts w:hint="eastAsia" w:ascii="仿宋" w:hAnsi="仿宋" w:eastAsia="仿宋" w:cs="仿宋"/>
          <w:b/>
          <w:bCs/>
          <w:sz w:val="28"/>
          <w:szCs w:val="28"/>
          <w:lang w:val="en-US" w:eastAsia="zh-CN"/>
        </w:rPr>
        <w:t xml:space="preserve">   </w:t>
      </w:r>
    </w:p>
    <w:p w14:paraId="4EB8E053">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r>
        <w:rPr>
          <w:rFonts w:hint="eastAsia" w:ascii="宋体" w:hAnsi="宋体" w:cs="宋体"/>
          <w:b/>
          <w:color w:val="000000"/>
        </w:rPr>
        <w:t>（共16题，每题3分，共48分）</w:t>
      </w:r>
    </w:p>
    <w:p w14:paraId="44A644CB">
      <w:pPr>
        <w:shd w:val="clear" w:color="auto" w:fill="auto"/>
        <w:spacing w:line="360" w:lineRule="auto"/>
        <w:jc w:val="left"/>
        <w:textAlignment w:val="center"/>
        <w:rPr>
          <w:sz w:val="21"/>
        </w:rPr>
      </w:pPr>
      <w:r>
        <w:rPr>
          <w:sz w:val="21"/>
        </w:rPr>
        <w:t>1．考古发现位于长江下游的良渚文化，玉器雕刻和装饰技术十分先进，其装饰技法在商周时期的玉器上得到了广泛的使用。夏商周时期流行的镶嵌玉技术，也源于良渚。这说明（</w:t>
      </w:r>
      <w:r>
        <w:rPr>
          <w:rFonts w:ascii="Times New Roman" w:hAnsi="Times New Roman" w:eastAsia="Times New Roman" w:cs="Times New Roman"/>
          <w:kern w:val="0"/>
          <w:sz w:val="24"/>
          <w:szCs w:val="24"/>
        </w:rPr>
        <w:t>     </w:t>
      </w:r>
      <w:r>
        <w:rPr>
          <w:sz w:val="21"/>
        </w:rPr>
        <w:t>）</w:t>
      </w:r>
    </w:p>
    <w:p w14:paraId="417F79C2">
      <w:pPr>
        <w:shd w:val="clear" w:color="auto" w:fill="auto"/>
        <w:tabs>
          <w:tab w:val="left" w:pos="4156"/>
        </w:tabs>
        <w:spacing w:line="360" w:lineRule="auto"/>
        <w:ind w:left="300"/>
        <w:jc w:val="left"/>
        <w:textAlignment w:val="center"/>
        <w:rPr>
          <w:sz w:val="21"/>
        </w:rPr>
      </w:pPr>
      <w:r>
        <w:rPr>
          <w:sz w:val="21"/>
        </w:rPr>
        <w:t>A．中原率先成为中华文明核心</w:t>
      </w:r>
      <w:r>
        <w:rPr>
          <w:sz w:val="21"/>
        </w:rPr>
        <w:tab/>
      </w:r>
      <w:r>
        <w:rPr>
          <w:sz w:val="21"/>
        </w:rPr>
        <w:t>B．华夏认同开始出现</w:t>
      </w:r>
    </w:p>
    <w:p w14:paraId="65E5F570">
      <w:pPr>
        <w:shd w:val="clear" w:color="auto" w:fill="auto"/>
        <w:tabs>
          <w:tab w:val="left" w:pos="4156"/>
        </w:tabs>
        <w:spacing w:line="360" w:lineRule="auto"/>
        <w:ind w:left="300"/>
        <w:jc w:val="left"/>
        <w:textAlignment w:val="center"/>
        <w:rPr>
          <w:sz w:val="21"/>
        </w:rPr>
      </w:pPr>
      <w:r>
        <w:rPr>
          <w:sz w:val="21"/>
        </w:rPr>
        <w:t>C．良渚文化已经具备国家形态</w:t>
      </w:r>
      <w:r>
        <w:rPr>
          <w:sz w:val="21"/>
        </w:rPr>
        <w:tab/>
      </w:r>
      <w:r>
        <w:rPr>
          <w:sz w:val="21"/>
        </w:rPr>
        <w:t>D．南北文化存在交流</w:t>
      </w:r>
    </w:p>
    <w:p w14:paraId="4D7299F0">
      <w:pPr>
        <w:shd w:val="clear" w:color="auto" w:fill="auto"/>
        <w:spacing w:line="360" w:lineRule="auto"/>
        <w:jc w:val="left"/>
        <w:textAlignment w:val="center"/>
        <w:rPr>
          <w:sz w:val="21"/>
        </w:rPr>
      </w:pPr>
      <w:r>
        <w:rPr>
          <w:sz w:val="21"/>
        </w:rPr>
        <w:t>2．在封建时代，贵族家庭最重要的事在祭祀，祭祀时最重要的事是宰杀牲牛，于是在当时替天子诸侯乃及一切贵族公卿管家的都称“宰”。到了秦汉统一，一切贵族家庭都倒下，只有一个家变成了“国家”，于是其家宰也就变成了国家的政治领袖。据此判断，下列有关秦汉时期“宰相”的说法有误的是（</w:t>
      </w:r>
      <w:r>
        <w:rPr>
          <w:rFonts w:ascii="Times New Roman" w:hAnsi="Times New Roman" w:eastAsia="Times New Roman" w:cs="Times New Roman"/>
          <w:kern w:val="0"/>
          <w:sz w:val="24"/>
          <w:szCs w:val="24"/>
        </w:rPr>
        <w:t>   </w:t>
      </w:r>
      <w:r>
        <w:rPr>
          <w:sz w:val="21"/>
        </w:rPr>
        <w:t>）</w:t>
      </w:r>
    </w:p>
    <w:p w14:paraId="7A80C33E">
      <w:pPr>
        <w:shd w:val="clear" w:color="auto" w:fill="auto"/>
        <w:tabs>
          <w:tab w:val="left" w:pos="4156"/>
        </w:tabs>
        <w:spacing w:line="360" w:lineRule="auto"/>
        <w:ind w:left="300"/>
        <w:jc w:val="left"/>
        <w:textAlignment w:val="center"/>
        <w:rPr>
          <w:sz w:val="21"/>
        </w:rPr>
      </w:pPr>
      <w:r>
        <w:rPr>
          <w:sz w:val="21"/>
        </w:rPr>
        <w:t>A．封建时代贵族私官之遗蜕</w:t>
      </w:r>
      <w:r>
        <w:rPr>
          <w:sz w:val="21"/>
        </w:rPr>
        <w:tab/>
      </w:r>
      <w:r>
        <w:rPr>
          <w:sz w:val="21"/>
        </w:rPr>
        <w:t>B．掌管贵族家庭最高祭祀权</w:t>
      </w:r>
    </w:p>
    <w:p w14:paraId="468F669A">
      <w:pPr>
        <w:shd w:val="clear" w:color="auto" w:fill="auto"/>
        <w:tabs>
          <w:tab w:val="left" w:pos="4156"/>
        </w:tabs>
        <w:spacing w:line="360" w:lineRule="auto"/>
        <w:ind w:left="300"/>
        <w:jc w:val="left"/>
        <w:textAlignment w:val="center"/>
        <w:rPr>
          <w:sz w:val="21"/>
        </w:rPr>
      </w:pPr>
      <w:r>
        <w:rPr>
          <w:sz w:val="21"/>
        </w:rPr>
        <w:t>C．体现家国同治的职权特点</w:t>
      </w:r>
      <w:r>
        <w:rPr>
          <w:sz w:val="21"/>
        </w:rPr>
        <w:tab/>
      </w:r>
      <w:r>
        <w:rPr>
          <w:sz w:val="21"/>
        </w:rPr>
        <w:t>D．封建政府的最高行政长官</w:t>
      </w:r>
    </w:p>
    <w:p w14:paraId="362554E5">
      <w:pPr>
        <w:shd w:val="clear" w:color="auto" w:fill="auto"/>
        <w:spacing w:line="360" w:lineRule="auto"/>
        <w:jc w:val="left"/>
        <w:textAlignment w:val="center"/>
        <w:rPr>
          <w:sz w:val="21"/>
        </w:rPr>
      </w:pPr>
      <w:r>
        <w:rPr>
          <w:sz w:val="21"/>
        </w:rPr>
        <w:t>3．黄河流域在西汉晚期至东汉，大致归并为关东（山东）、关西（山西）两个文化倾向有差异的基本文化区。到东晋时，许多关西关东方言已经混一。魏晋以后，出现了江南、江北两个文化区并峙的局面。对上述文化区格局的变迁解释正确的是（</w:t>
      </w:r>
      <w:r>
        <w:rPr>
          <w:rFonts w:ascii="Times New Roman" w:hAnsi="Times New Roman" w:eastAsia="Times New Roman" w:cs="Times New Roman"/>
          <w:kern w:val="0"/>
          <w:sz w:val="24"/>
          <w:szCs w:val="24"/>
        </w:rPr>
        <w:t>    </w:t>
      </w:r>
      <w:r>
        <w:rPr>
          <w:sz w:val="21"/>
        </w:rPr>
        <w:t>）</w:t>
      </w:r>
    </w:p>
    <w:p w14:paraId="19E39AA3">
      <w:pPr>
        <w:shd w:val="clear" w:color="auto" w:fill="auto"/>
        <w:spacing w:line="360" w:lineRule="auto"/>
        <w:ind w:left="300"/>
        <w:jc w:val="left"/>
        <w:textAlignment w:val="center"/>
        <w:rPr>
          <w:sz w:val="21"/>
        </w:rPr>
      </w:pPr>
      <w:r>
        <w:rPr>
          <w:sz w:val="21"/>
        </w:rPr>
        <w:t>A．黄河流域文化差异缩小得益于大一统的局面</w:t>
      </w:r>
    </w:p>
    <w:p w14:paraId="77650234">
      <w:pPr>
        <w:shd w:val="clear" w:color="auto" w:fill="auto"/>
        <w:spacing w:line="360" w:lineRule="auto"/>
        <w:ind w:left="300"/>
        <w:jc w:val="left"/>
        <w:textAlignment w:val="center"/>
        <w:rPr>
          <w:sz w:val="21"/>
        </w:rPr>
      </w:pPr>
      <w:r>
        <w:rPr>
          <w:sz w:val="21"/>
        </w:rPr>
        <w:t>B．江南地区的经济开发影响文化区格局的变化</w:t>
      </w:r>
    </w:p>
    <w:p w14:paraId="61E879DF">
      <w:pPr>
        <w:shd w:val="clear" w:color="auto" w:fill="auto"/>
        <w:spacing w:line="360" w:lineRule="auto"/>
        <w:ind w:left="300"/>
        <w:jc w:val="left"/>
        <w:textAlignment w:val="center"/>
        <w:rPr>
          <w:sz w:val="21"/>
        </w:rPr>
      </w:pPr>
      <w:r>
        <w:rPr>
          <w:sz w:val="21"/>
        </w:rPr>
        <w:t>C．区域间文化差异会影响中央集权体制的建立</w:t>
      </w:r>
    </w:p>
    <w:p w14:paraId="7966D1CD">
      <w:pPr>
        <w:shd w:val="clear" w:color="auto" w:fill="auto"/>
        <w:spacing w:line="360" w:lineRule="auto"/>
        <w:ind w:left="300"/>
        <w:jc w:val="left"/>
        <w:textAlignment w:val="center"/>
        <w:rPr>
          <w:sz w:val="21"/>
        </w:rPr>
      </w:pPr>
      <w:r>
        <w:rPr>
          <w:sz w:val="21"/>
        </w:rPr>
        <w:t>D．自然地理条件决定文化区的多样性与统一性</w:t>
      </w:r>
    </w:p>
    <w:p w14:paraId="7A2795B0">
      <w:pPr>
        <w:shd w:val="clear" w:color="auto" w:fill="auto"/>
        <w:spacing w:line="360" w:lineRule="auto"/>
        <w:jc w:val="left"/>
        <w:textAlignment w:val="center"/>
        <w:rPr>
          <w:sz w:val="21"/>
        </w:rPr>
      </w:pPr>
      <w:r>
        <w:rPr>
          <w:rFonts w:hint="eastAsia"/>
          <w:sz w:val="21"/>
          <w:lang w:val="en-US" w:eastAsia="zh-CN"/>
        </w:rPr>
        <w:t>4</w:t>
      </w:r>
      <w:r>
        <w:rPr>
          <w:sz w:val="21"/>
        </w:rPr>
        <w:t>．宋代植物谱录的作者多为士人阶层，他们通过培植、观赏、宦游及读书等多种方式，获取并记录植物知识与阐释草木之理，而对植物知识发展发挥重要作用的花工群体，却常被作者隐匿于文本中。这反映了（</w:t>
      </w:r>
      <w:r>
        <w:rPr>
          <w:rFonts w:ascii="Times New Roman" w:hAnsi="Times New Roman" w:eastAsia="Times New Roman" w:cs="Times New Roman"/>
          <w:kern w:val="0"/>
          <w:sz w:val="24"/>
          <w:szCs w:val="24"/>
        </w:rPr>
        <w:t>   </w:t>
      </w:r>
      <w:r>
        <w:rPr>
          <w:sz w:val="21"/>
        </w:rPr>
        <w:t>）</w:t>
      </w:r>
    </w:p>
    <w:p w14:paraId="75ED6C64">
      <w:pPr>
        <w:shd w:val="clear" w:color="auto" w:fill="auto"/>
        <w:tabs>
          <w:tab w:val="left" w:pos="4156"/>
        </w:tabs>
        <w:spacing w:line="360" w:lineRule="auto"/>
        <w:ind w:left="300"/>
        <w:jc w:val="left"/>
        <w:textAlignment w:val="center"/>
        <w:rPr>
          <w:sz w:val="21"/>
        </w:rPr>
      </w:pPr>
      <w:r>
        <w:rPr>
          <w:sz w:val="21"/>
        </w:rPr>
        <w:t>A．传统科学深受儒家思想的影响</w:t>
      </w:r>
      <w:r>
        <w:rPr>
          <w:sz w:val="21"/>
        </w:rPr>
        <w:tab/>
      </w:r>
      <w:r>
        <w:rPr>
          <w:sz w:val="21"/>
        </w:rPr>
        <w:t>B．宋代植物学排斥实践经验总结</w:t>
      </w:r>
    </w:p>
    <w:p w14:paraId="29A5AA9D">
      <w:pPr>
        <w:shd w:val="clear" w:color="auto" w:fill="auto"/>
        <w:tabs>
          <w:tab w:val="left" w:pos="4156"/>
        </w:tabs>
        <w:spacing w:line="360" w:lineRule="auto"/>
        <w:ind w:left="300"/>
        <w:jc w:val="left"/>
        <w:textAlignment w:val="center"/>
        <w:rPr>
          <w:sz w:val="21"/>
          <w:highlight w:val="green"/>
        </w:rPr>
      </w:pPr>
      <w:r>
        <w:rPr>
          <w:sz w:val="21"/>
        </w:rPr>
        <w:t>C．阶级矛盾影响了文化发展路径</w:t>
      </w:r>
      <w:r>
        <w:rPr>
          <w:sz w:val="21"/>
        </w:rPr>
        <w:tab/>
      </w:r>
      <w:r>
        <w:rPr>
          <w:sz w:val="21"/>
        </w:rPr>
        <w:t>D．士人阶层推动了自然科学发展</w:t>
      </w:r>
    </w:p>
    <w:p w14:paraId="530966F4">
      <w:pPr>
        <w:shd w:val="clear" w:color="auto" w:fill="auto"/>
        <w:spacing w:line="360" w:lineRule="auto"/>
        <w:jc w:val="left"/>
        <w:textAlignment w:val="center"/>
        <w:rPr>
          <w:sz w:val="21"/>
        </w:rPr>
      </w:pPr>
      <w:r>
        <w:rPr>
          <w:sz w:val="21"/>
        </w:rPr>
        <w:t>5．“木兰秋狝”是清代入关后逐渐形成的一项具有满族特色和政治意义的盛大狩猎活动，康乾年间最为兴盛。从乾隆末期开始，逐渐衰落，嘉庆朝秋狝次数大为减少，道光、咸丰年间基本再未举行。这主要是因为（</w:t>
      </w:r>
      <w:r>
        <w:rPr>
          <w:rFonts w:ascii="Times New Roman" w:hAnsi="Times New Roman" w:eastAsia="Times New Roman" w:cs="Times New Roman"/>
          <w:kern w:val="0"/>
          <w:sz w:val="24"/>
          <w:szCs w:val="24"/>
        </w:rPr>
        <w:t>    </w:t>
      </w:r>
      <w:r>
        <w:rPr>
          <w:sz w:val="21"/>
        </w:rPr>
        <w:t>）</w:t>
      </w:r>
    </w:p>
    <w:p w14:paraId="31B1D011">
      <w:pPr>
        <w:shd w:val="clear" w:color="auto" w:fill="auto"/>
        <w:tabs>
          <w:tab w:val="left" w:pos="4156"/>
        </w:tabs>
        <w:spacing w:line="360" w:lineRule="auto"/>
        <w:ind w:left="300"/>
        <w:jc w:val="left"/>
        <w:textAlignment w:val="center"/>
        <w:rPr>
          <w:sz w:val="21"/>
        </w:rPr>
      </w:pPr>
      <w:r>
        <w:rPr>
          <w:sz w:val="21"/>
        </w:rPr>
        <w:t>A．西方殖民侵略加剧</w:t>
      </w:r>
      <w:r>
        <w:rPr>
          <w:sz w:val="21"/>
        </w:rPr>
        <w:tab/>
      </w:r>
      <w:r>
        <w:rPr>
          <w:sz w:val="21"/>
        </w:rPr>
        <w:t>B．满族尚武传统丢失</w:t>
      </w:r>
    </w:p>
    <w:p w14:paraId="4CB7B8F1">
      <w:pPr>
        <w:shd w:val="clear" w:color="auto" w:fill="auto"/>
        <w:tabs>
          <w:tab w:val="left" w:pos="4156"/>
        </w:tabs>
        <w:spacing w:line="360" w:lineRule="auto"/>
        <w:ind w:left="300"/>
        <w:jc w:val="left"/>
        <w:textAlignment w:val="center"/>
        <w:rPr>
          <w:sz w:val="21"/>
        </w:rPr>
      </w:pPr>
      <w:r>
        <w:rPr>
          <w:sz w:val="21"/>
        </w:rPr>
        <w:t>C．社会危机日益加深</w:t>
      </w:r>
      <w:r>
        <w:rPr>
          <w:sz w:val="21"/>
        </w:rPr>
        <w:tab/>
      </w:r>
      <w:r>
        <w:rPr>
          <w:sz w:val="21"/>
        </w:rPr>
        <w:t>D．皇帝个人兴趣不同</w:t>
      </w:r>
    </w:p>
    <w:p w14:paraId="446C823B">
      <w:pPr>
        <w:shd w:val="clear" w:color="auto" w:fill="auto"/>
        <w:spacing w:line="360" w:lineRule="auto"/>
        <w:jc w:val="left"/>
        <w:textAlignment w:val="center"/>
        <w:rPr>
          <w:sz w:val="21"/>
        </w:rPr>
      </w:pPr>
      <w:r>
        <w:rPr>
          <w:sz w:val="21"/>
        </w:rPr>
        <w:t>6．1915年5月，袁世凯承认了卖国的“二十一条”，全国民众纷纷集会，宣传反日救亡，号召“抵制日货，勿忘国耻”；五四运动则以如何拯救山东为核心议题</w:t>
      </w:r>
      <w:r>
        <w:rPr>
          <w:rFonts w:hint="eastAsia"/>
          <w:sz w:val="21"/>
          <w:lang w:eastAsia="zh-CN"/>
        </w:rPr>
        <w:t>；</w:t>
      </w:r>
      <w:r>
        <w:rPr>
          <w:sz w:val="21"/>
        </w:rPr>
        <w:t>而1925年的“五卅”运动本是一桩影响范围较小的常见涉外惨案，但却以“亡人”危机为口号，掀起了比之前两者规模更大、参与阶层更广的“集体行动”。这一现象反映出（</w:t>
      </w:r>
      <w:r>
        <w:rPr>
          <w:rFonts w:ascii="Times New Roman" w:hAnsi="Times New Roman" w:eastAsia="Times New Roman" w:cs="Times New Roman"/>
          <w:kern w:val="0"/>
          <w:sz w:val="24"/>
          <w:szCs w:val="24"/>
        </w:rPr>
        <w:t>   </w:t>
      </w:r>
      <w:r>
        <w:rPr>
          <w:sz w:val="21"/>
        </w:rPr>
        <w:t>）</w:t>
      </w:r>
    </w:p>
    <w:p w14:paraId="0F8203BE">
      <w:pPr>
        <w:shd w:val="clear" w:color="auto" w:fill="auto"/>
        <w:tabs>
          <w:tab w:val="left" w:pos="4156"/>
        </w:tabs>
        <w:spacing w:line="360" w:lineRule="auto"/>
        <w:ind w:left="300"/>
        <w:jc w:val="left"/>
        <w:textAlignment w:val="center"/>
        <w:rPr>
          <w:sz w:val="21"/>
        </w:rPr>
      </w:pPr>
      <w:r>
        <w:rPr>
          <w:sz w:val="21"/>
        </w:rPr>
        <w:t>A．抗日救亡成为国人共识</w:t>
      </w:r>
      <w:r>
        <w:rPr>
          <w:sz w:val="21"/>
        </w:rPr>
        <w:tab/>
      </w:r>
      <w:r>
        <w:rPr>
          <w:sz w:val="21"/>
        </w:rPr>
        <w:t>B．民众民族意识日益觉醒</w:t>
      </w:r>
    </w:p>
    <w:p w14:paraId="5367DD5E">
      <w:pPr>
        <w:shd w:val="clear" w:color="auto" w:fill="auto"/>
        <w:tabs>
          <w:tab w:val="left" w:pos="4156"/>
        </w:tabs>
        <w:spacing w:line="360" w:lineRule="auto"/>
        <w:ind w:left="300"/>
        <w:jc w:val="left"/>
        <w:textAlignment w:val="center"/>
        <w:rPr>
          <w:sz w:val="21"/>
        </w:rPr>
      </w:pPr>
      <w:r>
        <w:rPr>
          <w:sz w:val="21"/>
        </w:rPr>
        <w:t>C．民主革命任务发生改变</w:t>
      </w:r>
      <w:r>
        <w:rPr>
          <w:sz w:val="21"/>
        </w:rPr>
        <w:tab/>
      </w:r>
      <w:r>
        <w:rPr>
          <w:sz w:val="21"/>
        </w:rPr>
        <w:t>D．革命领导阶级走向成熟</w:t>
      </w:r>
    </w:p>
    <w:p w14:paraId="18B2F0F6">
      <w:pPr>
        <w:shd w:val="clear" w:color="auto" w:fill="auto"/>
        <w:spacing w:line="360" w:lineRule="auto"/>
        <w:jc w:val="left"/>
        <w:textAlignment w:val="center"/>
        <w:rPr>
          <w:sz w:val="21"/>
        </w:rPr>
      </w:pPr>
      <w:r>
        <w:rPr>
          <w:sz w:val="21"/>
        </w:rPr>
        <w:t>7．如表为1930年毛泽东对江西寻乌人口成分的调查情况统计。该调查（</w:t>
      </w:r>
      <w:r>
        <w:rPr>
          <w:rFonts w:ascii="Times New Roman" w:hAnsi="Times New Roman" w:eastAsia="Times New Roman" w:cs="Times New Roman"/>
          <w:kern w:val="0"/>
          <w:sz w:val="24"/>
          <w:szCs w:val="24"/>
        </w:rPr>
        <w:t>   </w:t>
      </w:r>
      <w:r>
        <w:rPr>
          <w:sz w:val="21"/>
        </w:rPr>
        <w:t>）</w:t>
      </w:r>
    </w:p>
    <w:p w14:paraId="2E3A958B">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438400" cy="1485900"/>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8"/>
                    <a:stretch>
                      <a:fillRect/>
                    </a:stretch>
                  </pic:blipFill>
                  <pic:spPr>
                    <a:xfrm>
                      <a:off x="0" y="0"/>
                      <a:ext cx="2438400" cy="1485900"/>
                    </a:xfrm>
                    <a:prstGeom prst="rect">
                      <a:avLst/>
                    </a:prstGeom>
                  </pic:spPr>
                </pic:pic>
              </a:graphicData>
            </a:graphic>
          </wp:inline>
        </w:drawing>
      </w:r>
    </w:p>
    <w:p w14:paraId="5BC85AB6">
      <w:pPr>
        <w:shd w:val="clear" w:color="auto" w:fill="auto"/>
        <w:tabs>
          <w:tab w:val="left" w:pos="4156"/>
        </w:tabs>
        <w:spacing w:line="360" w:lineRule="auto"/>
        <w:ind w:left="300"/>
        <w:jc w:val="left"/>
        <w:textAlignment w:val="center"/>
        <w:rPr>
          <w:sz w:val="21"/>
        </w:rPr>
      </w:pPr>
      <w:r>
        <w:rPr>
          <w:sz w:val="21"/>
        </w:rPr>
        <w:t>A．阐明了中国革命的性质</w:t>
      </w:r>
      <w:r>
        <w:rPr>
          <w:sz w:val="21"/>
        </w:rPr>
        <w:tab/>
      </w:r>
      <w:r>
        <w:rPr>
          <w:sz w:val="21"/>
        </w:rPr>
        <w:t>B．有助于粉碎国民党的“围剿”</w:t>
      </w:r>
    </w:p>
    <w:p w14:paraId="4AF7A05D">
      <w:pPr>
        <w:shd w:val="clear" w:color="auto" w:fill="auto"/>
        <w:tabs>
          <w:tab w:val="left" w:pos="4156"/>
        </w:tabs>
        <w:spacing w:line="360" w:lineRule="auto"/>
        <w:ind w:left="300"/>
        <w:jc w:val="left"/>
        <w:textAlignment w:val="center"/>
        <w:rPr>
          <w:sz w:val="21"/>
        </w:rPr>
      </w:pPr>
      <w:r>
        <w:rPr>
          <w:sz w:val="21"/>
        </w:rPr>
        <w:t>C．明确了革命的领导力量</w:t>
      </w:r>
      <w:r>
        <w:rPr>
          <w:sz w:val="21"/>
        </w:rPr>
        <w:tab/>
      </w:r>
      <w:r>
        <w:rPr>
          <w:sz w:val="21"/>
        </w:rPr>
        <w:t>D．有利于制定正确的斗争策略</w:t>
      </w:r>
    </w:p>
    <w:p w14:paraId="47B64067">
      <w:pPr>
        <w:shd w:val="clear" w:color="auto" w:fill="auto"/>
        <w:spacing w:line="360" w:lineRule="auto"/>
        <w:jc w:val="left"/>
        <w:textAlignment w:val="center"/>
        <w:rPr>
          <w:sz w:val="21"/>
        </w:rPr>
      </w:pPr>
      <w:r>
        <w:rPr>
          <w:rFonts w:hint="eastAsia"/>
          <w:sz w:val="21"/>
          <w:lang w:val="en-US" w:eastAsia="zh-CN"/>
        </w:rPr>
        <w:t>8</w:t>
      </w:r>
      <w:r>
        <w:rPr>
          <w:sz w:val="21"/>
        </w:rPr>
        <w:t>．下表为延安《新中华报》登载的部分歌曲。这些歌曲的传唱（</w:t>
      </w:r>
      <w:r>
        <w:rPr>
          <w:rFonts w:ascii="Times New Roman" w:hAnsi="Times New Roman" w:eastAsia="Times New Roman" w:cs="Times New Roman"/>
          <w:kern w:val="0"/>
          <w:sz w:val="24"/>
          <w:szCs w:val="24"/>
        </w:rPr>
        <w:t>   </w:t>
      </w:r>
      <w:r>
        <w:rPr>
          <w:sz w:val="21"/>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1241"/>
        <w:gridCol w:w="6211"/>
      </w:tblGrid>
      <w:tr w14:paraId="0FE5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92D62">
            <w:pPr>
              <w:shd w:val="clear" w:color="auto" w:fill="auto"/>
              <w:spacing w:line="360" w:lineRule="auto"/>
              <w:jc w:val="left"/>
              <w:textAlignment w:val="center"/>
              <w:rPr>
                <w:sz w:val="21"/>
              </w:rPr>
            </w:pPr>
            <w:r>
              <w:rPr>
                <w:sz w:val="21"/>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7F403">
            <w:pPr>
              <w:shd w:val="clear" w:color="auto" w:fill="auto"/>
              <w:spacing w:line="360" w:lineRule="auto"/>
              <w:jc w:val="left"/>
              <w:textAlignment w:val="center"/>
              <w:rPr>
                <w:sz w:val="21"/>
              </w:rPr>
            </w:pPr>
            <w:r>
              <w:rPr>
                <w:sz w:val="21"/>
              </w:rPr>
              <w:t>歌曲名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8536F">
            <w:pPr>
              <w:shd w:val="clear" w:color="auto" w:fill="auto"/>
              <w:spacing w:line="360" w:lineRule="auto"/>
              <w:jc w:val="left"/>
              <w:textAlignment w:val="center"/>
              <w:rPr>
                <w:sz w:val="21"/>
              </w:rPr>
            </w:pPr>
            <w:r>
              <w:rPr>
                <w:sz w:val="21"/>
              </w:rPr>
              <w:t>内容</w:t>
            </w:r>
          </w:p>
        </w:tc>
      </w:tr>
      <w:tr w14:paraId="1490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5B97F">
            <w:pPr>
              <w:shd w:val="clear" w:color="auto" w:fill="auto"/>
              <w:spacing w:line="360" w:lineRule="auto"/>
              <w:jc w:val="left"/>
              <w:textAlignment w:val="center"/>
              <w:rPr>
                <w:sz w:val="21"/>
              </w:rPr>
            </w:pPr>
            <w:r>
              <w:rPr>
                <w:sz w:val="21"/>
              </w:rPr>
              <w:t>1937年12月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A42E3">
            <w:pPr>
              <w:shd w:val="clear" w:color="auto" w:fill="auto"/>
              <w:spacing w:line="360" w:lineRule="auto"/>
              <w:jc w:val="left"/>
              <w:textAlignment w:val="center"/>
              <w:rPr>
                <w:sz w:val="21"/>
              </w:rPr>
            </w:pPr>
            <w:r>
              <w:rPr>
                <w:sz w:val="21"/>
              </w:rPr>
              <w:t>《救国公粮谣》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D3A31">
            <w:pPr>
              <w:shd w:val="clear" w:color="auto" w:fill="auto"/>
              <w:spacing w:line="360" w:lineRule="auto"/>
              <w:jc w:val="left"/>
              <w:textAlignment w:val="center"/>
              <w:rPr>
                <w:sz w:val="21"/>
              </w:rPr>
            </w:pPr>
            <w:r>
              <w:rPr>
                <w:sz w:val="21"/>
              </w:rPr>
              <w:t>一斗斗，一升升，缴公粮送八路军，他们前方去打仗，帮忙全靠老百姓</w:t>
            </w:r>
          </w:p>
        </w:tc>
      </w:tr>
      <w:tr w14:paraId="00A2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6F76A">
            <w:pPr>
              <w:shd w:val="clear" w:color="auto" w:fill="auto"/>
              <w:spacing w:line="360" w:lineRule="auto"/>
              <w:jc w:val="left"/>
              <w:textAlignment w:val="center"/>
              <w:rPr>
                <w:sz w:val="21"/>
              </w:rPr>
            </w:pPr>
            <w:r>
              <w:rPr>
                <w:sz w:val="21"/>
              </w:rPr>
              <w:t>1939年5月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A4CC4">
            <w:pPr>
              <w:shd w:val="clear" w:color="auto" w:fill="auto"/>
              <w:spacing w:line="360" w:lineRule="auto"/>
              <w:jc w:val="left"/>
              <w:textAlignment w:val="center"/>
              <w:rPr>
                <w:sz w:val="21"/>
              </w:rPr>
            </w:pPr>
            <w:r>
              <w:rPr>
                <w:sz w:val="21"/>
              </w:rPr>
              <w:t>《开荒山歌》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BEBB7">
            <w:pPr>
              <w:shd w:val="clear" w:color="auto" w:fill="auto"/>
              <w:spacing w:line="360" w:lineRule="auto"/>
              <w:jc w:val="left"/>
              <w:textAlignment w:val="center"/>
              <w:rPr>
                <w:sz w:val="21"/>
              </w:rPr>
            </w:pPr>
            <w:r>
              <w:rPr>
                <w:sz w:val="21"/>
              </w:rPr>
              <w:t>爬上山头去开荒，哥哥嫂嫂下田庄。摘起锄头用力垦，垦平山头好种粮……种军粮来送前方，前方的将士要打仗</w:t>
            </w:r>
          </w:p>
        </w:tc>
      </w:tr>
    </w:tbl>
    <w:p w14:paraId="79128479">
      <w:pPr>
        <w:shd w:val="clear" w:color="auto" w:fill="auto"/>
        <w:tabs>
          <w:tab w:val="left" w:pos="4156"/>
        </w:tabs>
        <w:spacing w:line="360" w:lineRule="auto"/>
        <w:ind w:left="300"/>
        <w:jc w:val="left"/>
        <w:textAlignment w:val="center"/>
        <w:rPr>
          <w:sz w:val="21"/>
        </w:rPr>
      </w:pPr>
      <w:r>
        <w:rPr>
          <w:sz w:val="21"/>
        </w:rPr>
        <w:t>A．有助于巩固人民革命政权</w:t>
      </w:r>
      <w:r>
        <w:rPr>
          <w:sz w:val="21"/>
        </w:rPr>
        <w:tab/>
      </w:r>
      <w:r>
        <w:rPr>
          <w:sz w:val="21"/>
        </w:rPr>
        <w:t>B．践行了中国共产党全面抗战路线</w:t>
      </w:r>
    </w:p>
    <w:p w14:paraId="3D7B09B7">
      <w:pPr>
        <w:shd w:val="clear" w:color="auto" w:fill="auto"/>
        <w:tabs>
          <w:tab w:val="left" w:pos="4156"/>
        </w:tabs>
        <w:spacing w:line="360" w:lineRule="auto"/>
        <w:ind w:left="300"/>
        <w:jc w:val="left"/>
        <w:textAlignment w:val="center"/>
        <w:rPr>
          <w:sz w:val="21"/>
          <w:highlight w:val="green"/>
        </w:rPr>
      </w:pPr>
      <w:r>
        <w:rPr>
          <w:sz w:val="21"/>
        </w:rPr>
        <w:t>C．体现了大生产运动的要求</w:t>
      </w:r>
      <w:r>
        <w:rPr>
          <w:sz w:val="21"/>
        </w:rPr>
        <w:tab/>
      </w:r>
      <w:r>
        <w:rPr>
          <w:sz w:val="21"/>
        </w:rPr>
        <w:t>D．有利于丰富革命根据地文化生活</w:t>
      </w:r>
    </w:p>
    <w:p w14:paraId="7B53596B">
      <w:pPr>
        <w:shd w:val="clear" w:color="auto" w:fill="auto"/>
        <w:spacing w:line="360" w:lineRule="auto"/>
        <w:jc w:val="left"/>
        <w:textAlignment w:val="center"/>
        <w:rPr>
          <w:sz w:val="21"/>
        </w:rPr>
      </w:pPr>
      <w:r>
        <w:rPr>
          <w:sz w:val="21"/>
        </w:rPr>
        <w:t>9．1951年，东北地区出现了爱国主义生产竞赛运动。有工人提出“要把工厂变成战场，把机器变成武器”的口号，这立刻得到全国工人的响应，1200个工矿企业中的120余万职工加入生产竞赛。该运动（</w:t>
      </w:r>
      <w:r>
        <w:rPr>
          <w:rFonts w:ascii="Times New Roman" w:hAnsi="Times New Roman" w:eastAsia="Times New Roman" w:cs="Times New Roman"/>
          <w:kern w:val="0"/>
          <w:sz w:val="24"/>
          <w:szCs w:val="24"/>
        </w:rPr>
        <w:t>   </w:t>
      </w:r>
      <w:r>
        <w:rPr>
          <w:sz w:val="21"/>
        </w:rPr>
        <w:t>）</w:t>
      </w:r>
    </w:p>
    <w:p w14:paraId="7C34271C">
      <w:pPr>
        <w:shd w:val="clear" w:color="auto" w:fill="auto"/>
        <w:tabs>
          <w:tab w:val="left" w:pos="4156"/>
        </w:tabs>
        <w:spacing w:line="360" w:lineRule="auto"/>
        <w:ind w:left="300"/>
        <w:jc w:val="left"/>
        <w:textAlignment w:val="center"/>
        <w:rPr>
          <w:sz w:val="21"/>
        </w:rPr>
      </w:pPr>
      <w:r>
        <w:rPr>
          <w:sz w:val="21"/>
        </w:rPr>
        <w:t>A．推动了资本主义工商业改造进程</w:t>
      </w:r>
      <w:r>
        <w:rPr>
          <w:sz w:val="21"/>
        </w:rPr>
        <w:tab/>
      </w:r>
      <w:r>
        <w:rPr>
          <w:sz w:val="21"/>
        </w:rPr>
        <w:t>B．反映出群众建设社会主义的热情</w:t>
      </w:r>
    </w:p>
    <w:p w14:paraId="058034C4">
      <w:pPr>
        <w:shd w:val="clear" w:color="auto" w:fill="auto"/>
        <w:tabs>
          <w:tab w:val="left" w:pos="4156"/>
        </w:tabs>
        <w:spacing w:line="360" w:lineRule="auto"/>
        <w:ind w:left="300"/>
        <w:jc w:val="left"/>
        <w:textAlignment w:val="center"/>
        <w:rPr>
          <w:sz w:val="21"/>
        </w:rPr>
      </w:pPr>
      <w:r>
        <w:rPr>
          <w:sz w:val="21"/>
        </w:rPr>
        <w:t>C．有利于我国应对严峻的国际局势</w:t>
      </w:r>
      <w:r>
        <w:rPr>
          <w:sz w:val="21"/>
        </w:rPr>
        <w:tab/>
      </w:r>
      <w:r>
        <w:rPr>
          <w:sz w:val="21"/>
        </w:rPr>
        <w:t>D．助长了工业化建设中的冒进倾向</w:t>
      </w:r>
    </w:p>
    <w:p w14:paraId="5EDF4CE0">
      <w:pPr>
        <w:shd w:val="clear" w:color="auto" w:fill="auto"/>
        <w:spacing w:line="360" w:lineRule="auto"/>
        <w:jc w:val="left"/>
        <w:textAlignment w:val="center"/>
        <w:rPr>
          <w:sz w:val="21"/>
        </w:rPr>
      </w:pPr>
      <w:r>
        <w:rPr>
          <w:rFonts w:hint="eastAsia"/>
          <w:sz w:val="21"/>
          <w:lang w:val="en-US" w:eastAsia="zh-CN"/>
        </w:rPr>
        <w:t>10</w:t>
      </w:r>
      <w:r>
        <w:rPr>
          <w:sz w:val="21"/>
        </w:rPr>
        <w:t>．1984年4月8日，中共无锡县委发出了《关于转发堰桥乡党委</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抓</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一包三改</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促经济发展</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的经验的通知》。不久，《人民日报》在头版刊登了题为《堰桥乡镇企业全面改革一年见效》的报道，将学习</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一包三改</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经验推向高潮。堰桥乡</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一包三改</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的主</w:t>
      </w:r>
      <w:r>
        <w:rPr>
          <w:sz w:val="21"/>
        </w:rPr>
        <w:t>要背景是（</w:t>
      </w:r>
      <w:r>
        <w:rPr>
          <w:rFonts w:ascii="Times New Roman" w:hAnsi="Times New Roman" w:eastAsia="Times New Roman" w:cs="Times New Roman"/>
          <w:kern w:val="0"/>
          <w:sz w:val="24"/>
          <w:szCs w:val="24"/>
        </w:rPr>
        <w:t>   </w:t>
      </w:r>
      <w:r>
        <w:rPr>
          <w:sz w:val="21"/>
        </w:rPr>
        <w:t>）</w:t>
      </w:r>
    </w:p>
    <w:p w14:paraId="3FC1C3D4">
      <w:pPr>
        <w:shd w:val="clear" w:color="auto" w:fill="auto"/>
        <w:tabs>
          <w:tab w:val="left" w:pos="4156"/>
        </w:tabs>
        <w:spacing w:line="360" w:lineRule="auto"/>
        <w:ind w:left="300"/>
        <w:jc w:val="left"/>
        <w:textAlignment w:val="center"/>
        <w:rPr>
          <w:sz w:val="21"/>
        </w:rPr>
      </w:pPr>
      <w:r>
        <w:rPr>
          <w:sz w:val="21"/>
        </w:rPr>
        <w:t>A．农村实行家庭联产承包责任制</w:t>
      </w:r>
      <w:r>
        <w:rPr>
          <w:sz w:val="21"/>
        </w:rPr>
        <w:tab/>
      </w:r>
      <w:r>
        <w:rPr>
          <w:sz w:val="21"/>
        </w:rPr>
        <w:t>B．城市经济体制改革全面展开</w:t>
      </w:r>
    </w:p>
    <w:p w14:paraId="6BD61D1F">
      <w:pPr>
        <w:shd w:val="clear" w:color="auto" w:fill="auto"/>
        <w:tabs>
          <w:tab w:val="left" w:pos="4156"/>
        </w:tabs>
        <w:spacing w:line="360" w:lineRule="auto"/>
        <w:ind w:left="300"/>
        <w:jc w:val="left"/>
        <w:textAlignment w:val="center"/>
        <w:rPr>
          <w:sz w:val="21"/>
        </w:rPr>
      </w:pPr>
      <w:r>
        <w:rPr>
          <w:sz w:val="21"/>
        </w:rPr>
        <w:t>C．“南方谈话”解放了人们思想</w:t>
      </w:r>
      <w:r>
        <w:rPr>
          <w:sz w:val="21"/>
        </w:rPr>
        <w:tab/>
      </w:r>
      <w:r>
        <w:rPr>
          <w:sz w:val="21"/>
        </w:rPr>
        <w:t>D．社会主义初级阶段理论提出</w:t>
      </w:r>
    </w:p>
    <w:p w14:paraId="1AAEC943">
      <w:pPr>
        <w:shd w:val="clear" w:color="auto" w:fill="auto"/>
        <w:spacing w:line="360" w:lineRule="auto"/>
        <w:jc w:val="left"/>
        <w:textAlignment w:val="center"/>
        <w:rPr>
          <w:sz w:val="21"/>
        </w:rPr>
      </w:pPr>
      <w:r>
        <w:rPr>
          <w:rFonts w:hint="eastAsia"/>
          <w:sz w:val="21"/>
          <w:lang w:val="en-US" w:eastAsia="zh-CN"/>
        </w:rPr>
        <w:t>11</w:t>
      </w:r>
      <w:r>
        <w:rPr>
          <w:sz w:val="21"/>
        </w:rPr>
        <w:t>．正如希腊世界的人们更倾向于自称为雅典人、斯巴达人等，腓尼基人也更愿意称自己为推罗人、西顿人、比布罗斯人等，而不是希腊人对他们的称呼</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phoinikes</w:t>
      </w:r>
      <w:r>
        <w:rPr>
          <w:rFonts w:hint="eastAsia"/>
          <w:color w:val="000000" w:themeColor="text1"/>
          <w:sz w:val="21"/>
          <w:lang w:eastAsia="zh-CN"/>
          <w14:textFill>
            <w14:solidFill>
              <w14:schemeClr w14:val="tx1"/>
            </w14:solidFill>
          </w14:textFill>
        </w:rPr>
        <w:t>”</w:t>
      </w:r>
      <w:r>
        <w:rPr>
          <w:sz w:val="21"/>
        </w:rPr>
        <w:t>（意思是腓尼基人）。据此判断，腓尼基（</w:t>
      </w:r>
      <w:r>
        <w:rPr>
          <w:rFonts w:ascii="Times New Roman" w:hAnsi="Times New Roman" w:eastAsia="Times New Roman" w:cs="Times New Roman"/>
          <w:kern w:val="0"/>
          <w:sz w:val="24"/>
          <w:szCs w:val="24"/>
        </w:rPr>
        <w:t>   </w:t>
      </w:r>
      <w:r>
        <w:rPr>
          <w:sz w:val="21"/>
        </w:rPr>
        <w:t>）</w:t>
      </w:r>
    </w:p>
    <w:p w14:paraId="70AD6630">
      <w:pPr>
        <w:shd w:val="clear" w:color="auto" w:fill="auto"/>
        <w:tabs>
          <w:tab w:val="left" w:pos="4156"/>
        </w:tabs>
        <w:spacing w:line="360" w:lineRule="auto"/>
        <w:ind w:left="300"/>
        <w:jc w:val="left"/>
        <w:textAlignment w:val="center"/>
        <w:rPr>
          <w:sz w:val="21"/>
        </w:rPr>
      </w:pPr>
      <w:r>
        <w:rPr>
          <w:sz w:val="21"/>
        </w:rPr>
        <w:t>A．族群复杂且彼此对立</w:t>
      </w:r>
      <w:r>
        <w:rPr>
          <w:sz w:val="21"/>
        </w:rPr>
        <w:tab/>
      </w:r>
      <w:r>
        <w:rPr>
          <w:sz w:val="21"/>
        </w:rPr>
        <w:t>B．政治文明以城市国家为基础</w:t>
      </w:r>
    </w:p>
    <w:p w14:paraId="43A80B6F">
      <w:pPr>
        <w:shd w:val="clear" w:color="auto" w:fill="auto"/>
        <w:tabs>
          <w:tab w:val="left" w:pos="4156"/>
        </w:tabs>
        <w:spacing w:line="360" w:lineRule="auto"/>
        <w:ind w:left="300"/>
        <w:jc w:val="left"/>
        <w:textAlignment w:val="center"/>
        <w:rPr>
          <w:sz w:val="21"/>
          <w:highlight w:val="green"/>
        </w:rPr>
      </w:pPr>
      <w:r>
        <w:rPr>
          <w:sz w:val="21"/>
        </w:rPr>
        <w:t>C．文化发展呈现封闭性</w:t>
      </w:r>
      <w:r>
        <w:rPr>
          <w:sz w:val="21"/>
        </w:rPr>
        <w:tab/>
      </w:r>
      <w:r>
        <w:rPr>
          <w:sz w:val="21"/>
        </w:rPr>
        <w:t>D．字母文字深受希腊文化影响</w:t>
      </w:r>
    </w:p>
    <w:p w14:paraId="517EC9C4">
      <w:pPr>
        <w:shd w:val="clear" w:color="auto" w:fill="auto"/>
        <w:spacing w:line="360" w:lineRule="auto"/>
        <w:jc w:val="left"/>
        <w:textAlignment w:val="center"/>
        <w:rPr>
          <w:sz w:val="21"/>
        </w:rPr>
      </w:pPr>
      <w:r>
        <w:rPr>
          <w:sz w:val="21"/>
        </w:rPr>
        <w:t>12．雅克·韦尔热在《中世纪大学》里说：“15世纪末欧洲的大学与13世纪的大学已有较大差异。从经常因暴力冲突而分裂，但富于活力和独特生活的独立行会、研究和教学的发源地，退居为服务于国家的职业培训中心，并由国家严密控制。”雅克·韦尔热意在强调（</w:t>
      </w:r>
      <w:r>
        <w:rPr>
          <w:rFonts w:ascii="Times New Roman" w:hAnsi="Times New Roman" w:eastAsia="Times New Roman" w:cs="Times New Roman"/>
          <w:kern w:val="0"/>
          <w:sz w:val="24"/>
          <w:szCs w:val="24"/>
        </w:rPr>
        <w:t>   </w:t>
      </w:r>
      <w:r>
        <w:rPr>
          <w:sz w:val="21"/>
        </w:rPr>
        <w:t>）</w:t>
      </w:r>
    </w:p>
    <w:p w14:paraId="72B67D86">
      <w:pPr>
        <w:shd w:val="clear" w:color="auto" w:fill="auto"/>
        <w:tabs>
          <w:tab w:val="left" w:pos="4156"/>
        </w:tabs>
        <w:spacing w:line="360" w:lineRule="auto"/>
        <w:ind w:left="380"/>
        <w:jc w:val="left"/>
        <w:textAlignment w:val="center"/>
        <w:rPr>
          <w:sz w:val="21"/>
        </w:rPr>
      </w:pPr>
      <w:r>
        <w:rPr>
          <w:sz w:val="21"/>
        </w:rPr>
        <w:t>A．国家支持大学的发展</w:t>
      </w:r>
      <w:r>
        <w:rPr>
          <w:sz w:val="21"/>
        </w:rPr>
        <w:tab/>
      </w:r>
      <w:r>
        <w:rPr>
          <w:sz w:val="21"/>
        </w:rPr>
        <w:t>B．大学对职业培训的贡献</w:t>
      </w:r>
    </w:p>
    <w:p w14:paraId="2DB86623">
      <w:pPr>
        <w:shd w:val="clear" w:color="auto" w:fill="auto"/>
        <w:tabs>
          <w:tab w:val="left" w:pos="4156"/>
        </w:tabs>
        <w:spacing w:line="360" w:lineRule="auto"/>
        <w:ind w:left="380"/>
        <w:jc w:val="left"/>
        <w:textAlignment w:val="center"/>
        <w:rPr>
          <w:sz w:val="21"/>
        </w:rPr>
      </w:pPr>
      <w:r>
        <w:rPr>
          <w:sz w:val="21"/>
        </w:rPr>
        <w:t>C．大学的独立性遭削弱</w:t>
      </w:r>
      <w:r>
        <w:rPr>
          <w:sz w:val="21"/>
        </w:rPr>
        <w:tab/>
      </w:r>
      <w:r>
        <w:rPr>
          <w:sz w:val="21"/>
        </w:rPr>
        <w:t>D．城市自治助推大学发展</w:t>
      </w:r>
    </w:p>
    <w:p w14:paraId="081A65EC">
      <w:pPr>
        <w:shd w:val="clear" w:color="auto" w:fill="auto"/>
        <w:spacing w:line="360" w:lineRule="auto"/>
        <w:jc w:val="left"/>
        <w:textAlignment w:val="center"/>
        <w:rPr>
          <w:sz w:val="21"/>
        </w:rPr>
      </w:pPr>
      <w:r>
        <w:rPr>
          <w:sz w:val="21"/>
        </w:rPr>
        <w:t>13．17世纪后半叶，在英国，欧文·普赖斯发表的《发音器官》中附带有发音器官图，用以指导读者通过观察发音器官来学习拼写和发音方法；威廉·霍尔德发表的《演讲要素》则主张记录发音字母的拼写方式应该与自然发音高度吻合。这体现出（</w:t>
      </w:r>
      <w:r>
        <w:rPr>
          <w:rFonts w:ascii="Times New Roman" w:hAnsi="Times New Roman" w:eastAsia="Times New Roman" w:cs="Times New Roman"/>
          <w:kern w:val="0"/>
          <w:sz w:val="24"/>
          <w:szCs w:val="24"/>
        </w:rPr>
        <w:t>   </w:t>
      </w:r>
      <w:r>
        <w:rPr>
          <w:sz w:val="21"/>
        </w:rPr>
        <w:t>）</w:t>
      </w:r>
    </w:p>
    <w:p w14:paraId="04088FC1">
      <w:pPr>
        <w:shd w:val="clear" w:color="auto" w:fill="auto"/>
        <w:tabs>
          <w:tab w:val="left" w:pos="4156"/>
        </w:tabs>
        <w:spacing w:line="360" w:lineRule="auto"/>
        <w:ind w:left="380"/>
        <w:jc w:val="left"/>
        <w:textAlignment w:val="center"/>
        <w:rPr>
          <w:sz w:val="21"/>
        </w:rPr>
      </w:pPr>
      <w:r>
        <w:rPr>
          <w:sz w:val="21"/>
        </w:rPr>
        <w:t>A．民族文化改革是必然趋势</w:t>
      </w:r>
      <w:r>
        <w:rPr>
          <w:sz w:val="21"/>
        </w:rPr>
        <w:tab/>
      </w:r>
      <w:r>
        <w:rPr>
          <w:sz w:val="21"/>
        </w:rPr>
        <w:t>B．理性主义对民族语言的影响</w:t>
      </w:r>
    </w:p>
    <w:p w14:paraId="2344DDED">
      <w:pPr>
        <w:shd w:val="clear" w:color="auto" w:fill="auto"/>
        <w:tabs>
          <w:tab w:val="left" w:pos="4156"/>
        </w:tabs>
        <w:spacing w:line="360" w:lineRule="auto"/>
        <w:ind w:left="380"/>
        <w:jc w:val="left"/>
        <w:textAlignment w:val="center"/>
        <w:rPr>
          <w:sz w:val="21"/>
        </w:rPr>
      </w:pPr>
      <w:r>
        <w:rPr>
          <w:sz w:val="21"/>
        </w:rPr>
        <w:t>C．教育内容服务于国家需要</w:t>
      </w:r>
      <w:r>
        <w:rPr>
          <w:sz w:val="21"/>
        </w:rPr>
        <w:tab/>
      </w:r>
      <w:r>
        <w:rPr>
          <w:sz w:val="21"/>
        </w:rPr>
        <w:t>D．英语在日常使用中的规范化</w:t>
      </w:r>
    </w:p>
    <w:p w14:paraId="06912437">
      <w:pPr>
        <w:shd w:val="clear" w:color="auto" w:fill="auto"/>
        <w:spacing w:line="360" w:lineRule="auto"/>
        <w:jc w:val="left"/>
        <w:textAlignment w:val="center"/>
        <w:rPr>
          <w:sz w:val="21"/>
        </w:rPr>
      </w:pPr>
      <w:r>
        <w:rPr>
          <w:sz w:val="21"/>
        </w:rPr>
        <w:t>14．下面分别是1870年8月和1871年1月，英国报刊刊载的关于同一历史事件的漫画。前者描绘了英国斗牛犬保护着“比利时羔羊”假寐的同时，睁着一只眼关注着远方的“两犬相争”；后者则嘲讽道：“虔诚的威廉一世（德意志帝国皇帝）应当被考虑封为圣徒”。这两幅漫画反映出（</w:t>
      </w:r>
      <w:r>
        <w:rPr>
          <w:rFonts w:ascii="Times New Roman" w:hAnsi="Times New Roman" w:eastAsia="Times New Roman" w:cs="Times New Roman"/>
          <w:kern w:val="0"/>
          <w:sz w:val="24"/>
          <w:szCs w:val="24"/>
        </w:rPr>
        <w:t>   </w:t>
      </w:r>
      <w:r>
        <w:rPr>
          <w:sz w:val="21"/>
        </w:rPr>
        <w:t>）</w:t>
      </w:r>
    </w:p>
    <w:p w14:paraId="1773799D">
      <w:pPr>
        <w:shd w:val="clear" w:color="auto" w:fill="auto"/>
        <w:tabs>
          <w:tab w:val="left" w:pos="4156"/>
        </w:tabs>
        <w:spacing w:line="360" w:lineRule="auto"/>
        <w:ind w:left="380"/>
        <w:jc w:val="left"/>
        <w:textAlignment w:val="center"/>
        <w:rPr>
          <w:sz w:val="21"/>
        </w:rPr>
      </w:pPr>
      <w:r>
        <w:rPr>
          <w:sz w:val="21"/>
        </w:rPr>
        <w:t>A．英国注重维持欧洲均势的政治格局</w:t>
      </w:r>
      <w:r>
        <w:rPr>
          <w:sz w:val="21"/>
        </w:rPr>
        <w:tab/>
      </w:r>
      <w:r>
        <w:rPr>
          <w:sz w:val="21"/>
        </w:rPr>
        <w:t>B．英德矛盾成为欧洲地区的主要矛盾</w:t>
      </w:r>
    </w:p>
    <w:p w14:paraId="2290775A">
      <w:pPr>
        <w:shd w:val="clear" w:color="auto" w:fill="auto"/>
        <w:tabs>
          <w:tab w:val="left" w:pos="4156"/>
        </w:tabs>
        <w:spacing w:line="360" w:lineRule="auto"/>
        <w:ind w:left="380"/>
        <w:jc w:val="left"/>
        <w:textAlignment w:val="center"/>
        <w:rPr>
          <w:sz w:val="21"/>
        </w:rPr>
      </w:pPr>
      <w:r>
        <w:rPr>
          <w:sz w:val="21"/>
        </w:rPr>
        <w:t>C．欧洲政治动荡改变了英国外交原则</w:t>
      </w:r>
      <w:r>
        <w:rPr>
          <w:sz w:val="21"/>
        </w:rPr>
        <w:tab/>
      </w:r>
      <w:r>
        <w:rPr>
          <w:sz w:val="21"/>
        </w:rPr>
        <w:t>D．普法战争冲击了传统国际协调机制</w:t>
      </w:r>
    </w:p>
    <w:p w14:paraId="7D458147">
      <w:pPr>
        <w:shd w:val="clear" w:color="auto" w:fill="auto"/>
        <w:spacing w:line="360" w:lineRule="auto"/>
        <w:jc w:val="left"/>
        <w:textAlignment w:val="center"/>
        <w:rPr>
          <w:sz w:val="21"/>
        </w:rPr>
      </w:pPr>
    </w:p>
    <w:p w14:paraId="46A54FBB">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409950" cy="1564640"/>
            <wp:effectExtent l="0" t="0" r="0" b="1651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9"/>
                    <a:stretch>
                      <a:fillRect/>
                    </a:stretch>
                  </pic:blipFill>
                  <pic:spPr>
                    <a:xfrm>
                      <a:off x="0" y="0"/>
                      <a:ext cx="3409950" cy="1564640"/>
                    </a:xfrm>
                    <a:prstGeom prst="rect">
                      <a:avLst/>
                    </a:prstGeom>
                  </pic:spPr>
                </pic:pic>
              </a:graphicData>
            </a:graphic>
          </wp:inline>
        </w:drawing>
      </w:r>
    </w:p>
    <w:p w14:paraId="1A24BC47">
      <w:pPr>
        <w:shd w:val="clear" w:color="auto" w:fill="auto"/>
        <w:spacing w:line="360" w:lineRule="auto"/>
        <w:jc w:val="left"/>
        <w:textAlignment w:val="center"/>
        <w:rPr>
          <w:sz w:val="21"/>
        </w:rPr>
      </w:pPr>
      <w:r>
        <w:rPr>
          <w:sz w:val="21"/>
        </w:rPr>
        <w:t>15．1946年2月斯大林在莫斯科市选民大会上说：“我们必须使我国工业每年能生产生铁达五千万吨，钢达六千万吨，煤炭达五亿吨，石油达六千万吨，只有这样才可以认为，我们祖国有了足以应付各种意外事件的保障。”这侧面反映了（</w:t>
      </w:r>
      <w:r>
        <w:rPr>
          <w:rFonts w:ascii="Times New Roman" w:hAnsi="Times New Roman" w:eastAsia="Times New Roman" w:cs="Times New Roman"/>
          <w:kern w:val="0"/>
          <w:sz w:val="24"/>
          <w:szCs w:val="24"/>
        </w:rPr>
        <w:t>   </w:t>
      </w:r>
      <w:r>
        <w:rPr>
          <w:sz w:val="21"/>
        </w:rPr>
        <w:t>）</w:t>
      </w:r>
    </w:p>
    <w:p w14:paraId="699DCFD5">
      <w:pPr>
        <w:shd w:val="clear" w:color="auto" w:fill="auto"/>
        <w:tabs>
          <w:tab w:val="left" w:pos="4156"/>
        </w:tabs>
        <w:spacing w:line="360" w:lineRule="auto"/>
        <w:ind w:left="380"/>
        <w:jc w:val="left"/>
        <w:textAlignment w:val="center"/>
        <w:rPr>
          <w:sz w:val="21"/>
        </w:rPr>
      </w:pPr>
      <w:r>
        <w:rPr>
          <w:sz w:val="21"/>
        </w:rPr>
        <w:t>A．冷战对抗的序幕已拉开</w:t>
      </w:r>
      <w:r>
        <w:rPr>
          <w:sz w:val="21"/>
        </w:rPr>
        <w:tab/>
      </w:r>
      <w:r>
        <w:rPr>
          <w:sz w:val="21"/>
        </w:rPr>
        <w:t>B．二战促进苏联工业发展</w:t>
      </w:r>
    </w:p>
    <w:p w14:paraId="3CCA3F82">
      <w:pPr>
        <w:shd w:val="clear" w:color="auto" w:fill="auto"/>
        <w:tabs>
          <w:tab w:val="left" w:pos="4156"/>
        </w:tabs>
        <w:spacing w:line="360" w:lineRule="auto"/>
        <w:ind w:left="380"/>
        <w:jc w:val="left"/>
        <w:textAlignment w:val="center"/>
        <w:rPr>
          <w:sz w:val="21"/>
        </w:rPr>
      </w:pPr>
      <w:r>
        <w:rPr>
          <w:sz w:val="21"/>
        </w:rPr>
        <w:t>C．斯大林模式的经济特点</w:t>
      </w:r>
      <w:r>
        <w:rPr>
          <w:sz w:val="21"/>
        </w:rPr>
        <w:tab/>
      </w:r>
      <w:r>
        <w:rPr>
          <w:sz w:val="21"/>
        </w:rPr>
        <w:t>D．苏联大国沙文主义凸显</w:t>
      </w:r>
    </w:p>
    <w:p w14:paraId="280D4A79">
      <w:pPr>
        <w:shd w:val="clear" w:color="auto" w:fill="auto"/>
        <w:spacing w:line="360" w:lineRule="auto"/>
        <w:jc w:val="left"/>
        <w:textAlignment w:val="center"/>
        <w:rPr>
          <w:sz w:val="21"/>
        </w:rPr>
      </w:pPr>
      <w:r>
        <w:rPr>
          <w:sz w:val="21"/>
        </w:rPr>
        <w:t>16．据统计，2000年全球非洲留学生来源国和东道国各为52个；流入法国的非洲留学生数量占比约42.6％；其次为南非（12.8％）、英国（10.4％）、比利时（7.4％）。2018年，全球非洲留学生来源国和东道国分别为54个和90个，且二者兼具的非洲国家增加显著；留学生多流向法国（20.4％）、中国（10.3％）、美国（8.5％）和南非（6.3％）。这一变化折射出（</w:t>
      </w:r>
      <w:r>
        <w:rPr>
          <w:rFonts w:ascii="Times New Roman" w:hAnsi="Times New Roman" w:eastAsia="Times New Roman" w:cs="Times New Roman"/>
          <w:kern w:val="0"/>
          <w:sz w:val="24"/>
          <w:szCs w:val="24"/>
        </w:rPr>
        <w:t>   </w:t>
      </w:r>
      <w:r>
        <w:rPr>
          <w:sz w:val="21"/>
        </w:rPr>
        <w:t>）</w:t>
      </w:r>
    </w:p>
    <w:p w14:paraId="061E5951">
      <w:pPr>
        <w:shd w:val="clear" w:color="auto" w:fill="auto"/>
        <w:tabs>
          <w:tab w:val="left" w:pos="4156"/>
        </w:tabs>
        <w:spacing w:line="360" w:lineRule="auto"/>
        <w:ind w:left="380"/>
        <w:jc w:val="left"/>
        <w:textAlignment w:val="center"/>
        <w:rPr>
          <w:sz w:val="21"/>
        </w:rPr>
      </w:pPr>
      <w:r>
        <w:rPr>
          <w:sz w:val="21"/>
        </w:rPr>
        <w:t>A．国际竞争加剧对精英人才的竞争</w:t>
      </w:r>
      <w:r>
        <w:rPr>
          <w:sz w:val="21"/>
        </w:rPr>
        <w:tab/>
      </w:r>
      <w:r>
        <w:rPr>
          <w:sz w:val="21"/>
        </w:rPr>
        <w:t>B．全球秩序变革的进一步深化</w:t>
      </w:r>
    </w:p>
    <w:p w14:paraId="62357C8D">
      <w:pPr>
        <w:shd w:val="clear" w:color="auto" w:fill="auto"/>
        <w:tabs>
          <w:tab w:val="left" w:pos="4156"/>
        </w:tabs>
        <w:spacing w:line="360" w:lineRule="auto"/>
        <w:ind w:left="380"/>
        <w:jc w:val="left"/>
        <w:textAlignment w:val="center"/>
        <w:rPr>
          <w:sz w:val="21"/>
        </w:rPr>
      </w:pPr>
      <w:r>
        <w:rPr>
          <w:sz w:val="21"/>
        </w:rPr>
        <w:t>C．全球化促进了区域教育均衡发展</w:t>
      </w:r>
      <w:r>
        <w:rPr>
          <w:sz w:val="21"/>
        </w:rPr>
        <w:tab/>
      </w:r>
      <w:r>
        <w:rPr>
          <w:sz w:val="21"/>
        </w:rPr>
        <w:t>D．殖民主义主导非洲文教事业</w:t>
      </w:r>
    </w:p>
    <w:p w14:paraId="01F927A7">
      <w:pPr>
        <w:shd w:val="clear" w:color="auto" w:fill="auto"/>
        <w:tabs>
          <w:tab w:val="left" w:pos="4156"/>
        </w:tabs>
        <w:spacing w:line="360" w:lineRule="auto"/>
        <w:ind w:left="380"/>
        <w:jc w:val="left"/>
        <w:textAlignment w:val="center"/>
        <w:rPr>
          <w:sz w:val="21"/>
        </w:rPr>
      </w:pPr>
    </w:p>
    <w:p w14:paraId="20D69A67">
      <w:pPr>
        <w:shd w:val="clear" w:color="auto" w:fill="auto"/>
        <w:tabs>
          <w:tab w:val="left" w:pos="4156"/>
        </w:tabs>
        <w:spacing w:line="360" w:lineRule="auto"/>
        <w:ind w:left="380"/>
        <w:jc w:val="left"/>
        <w:textAlignment w:val="center"/>
        <w:rPr>
          <w:sz w:val="21"/>
          <w:highlight w:val="none"/>
        </w:rPr>
      </w:pPr>
    </w:p>
    <w:p w14:paraId="7CC02AE9">
      <w:pPr>
        <w:jc w:val="left"/>
        <w:textAlignment w:val="center"/>
        <w:rPr>
          <w:rFonts w:ascii="宋体" w:hAnsi="宋体" w:eastAsia="宋体" w:cs="宋体"/>
          <w:b/>
          <w:i w:val="0"/>
          <w:color w:val="000000"/>
          <w:sz w:val="21"/>
        </w:rPr>
      </w:pPr>
      <w:r>
        <w:rPr>
          <w:rFonts w:ascii="宋体" w:hAnsi="宋体" w:eastAsia="宋体" w:cs="宋体"/>
          <w:b/>
          <w:i w:val="0"/>
          <w:color w:val="000000"/>
          <w:sz w:val="21"/>
          <w:highlight w:val="none"/>
        </w:rPr>
        <w:t>二、材料</w:t>
      </w:r>
      <w:r>
        <w:rPr>
          <w:rFonts w:hint="eastAsia" w:ascii="宋体" w:hAnsi="宋体" w:cs="宋体"/>
          <w:b/>
          <w:i w:val="0"/>
          <w:color w:val="000000"/>
          <w:sz w:val="21"/>
          <w:highlight w:val="none"/>
          <w:lang w:val="en-US" w:eastAsia="zh-CN"/>
        </w:rPr>
        <w:t>分析</w:t>
      </w:r>
      <w:r>
        <w:rPr>
          <w:rFonts w:ascii="宋体" w:hAnsi="宋体" w:eastAsia="宋体" w:cs="宋体"/>
          <w:b/>
          <w:i w:val="0"/>
          <w:color w:val="000000"/>
          <w:sz w:val="21"/>
          <w:highlight w:val="none"/>
        </w:rPr>
        <w:t>题</w:t>
      </w:r>
      <w:r>
        <w:rPr>
          <w:rFonts w:hint="eastAsia" w:ascii="宋体" w:hAnsi="宋体" w:cs="宋体"/>
          <w:b/>
          <w:color w:val="000000"/>
          <w:highlight w:val="none"/>
          <w:lang w:eastAsia="zh-CN"/>
        </w:rPr>
        <w:t>（</w:t>
      </w:r>
      <w:r>
        <w:rPr>
          <w:rFonts w:hint="eastAsia" w:ascii="宋体" w:hAnsi="宋体" w:cs="宋体"/>
          <w:b/>
          <w:color w:val="000000"/>
          <w:highlight w:val="none"/>
          <w:lang w:val="en-US" w:eastAsia="zh-CN"/>
        </w:rPr>
        <w:t>17题14分，18题14分，</w:t>
      </w:r>
      <w:r>
        <w:rPr>
          <w:rFonts w:hint="eastAsia" w:ascii="宋体" w:hAnsi="宋体" w:cs="宋体"/>
          <w:b/>
          <w:color w:val="000000"/>
          <w:lang w:val="en-US" w:eastAsia="zh-CN"/>
        </w:rPr>
        <w:t>19题12分，20题12分，共52分</w:t>
      </w:r>
      <w:r>
        <w:rPr>
          <w:rFonts w:hint="eastAsia" w:ascii="宋体" w:hAnsi="宋体" w:cs="宋体"/>
          <w:b/>
          <w:color w:val="000000"/>
          <w:lang w:eastAsia="zh-CN"/>
        </w:rPr>
        <w:t>）</w:t>
      </w:r>
    </w:p>
    <w:p w14:paraId="35F6D8AF">
      <w:pPr>
        <w:shd w:val="clear" w:color="auto" w:fill="auto"/>
        <w:spacing w:line="360" w:lineRule="auto"/>
        <w:jc w:val="left"/>
        <w:textAlignment w:val="center"/>
        <w:rPr>
          <w:sz w:val="21"/>
        </w:rPr>
      </w:pPr>
      <w:r>
        <w:rPr>
          <w:rFonts w:hint="eastAsia"/>
          <w:sz w:val="21"/>
          <w:lang w:val="en-US" w:eastAsia="zh-CN"/>
        </w:rPr>
        <w:t>17</w:t>
      </w:r>
      <w:r>
        <w:rPr>
          <w:sz w:val="21"/>
        </w:rPr>
        <w:t>．</w:t>
      </w:r>
      <w:r>
        <w:rPr>
          <w:rFonts w:hint="eastAsia"/>
          <w:sz w:val="21"/>
          <w:highlight w:val="none"/>
          <w:lang w:eastAsia="zh-CN"/>
        </w:rPr>
        <w:t>（</w:t>
      </w:r>
      <w:r>
        <w:rPr>
          <w:rFonts w:hint="eastAsia"/>
          <w:sz w:val="21"/>
          <w:highlight w:val="none"/>
          <w:lang w:val="en-US" w:eastAsia="zh-CN"/>
        </w:rPr>
        <w:t>14分</w:t>
      </w:r>
      <w:r>
        <w:rPr>
          <w:rFonts w:hint="eastAsia"/>
          <w:sz w:val="21"/>
          <w:highlight w:val="none"/>
          <w:lang w:eastAsia="zh-CN"/>
        </w:rPr>
        <w:t>）</w:t>
      </w:r>
      <w:r>
        <w:rPr>
          <w:sz w:val="21"/>
          <w:highlight w:val="none"/>
        </w:rPr>
        <w:t>阅</w:t>
      </w:r>
      <w:r>
        <w:rPr>
          <w:sz w:val="21"/>
        </w:rPr>
        <w:t>读材料，完成下列要求。</w:t>
      </w:r>
    </w:p>
    <w:p w14:paraId="512CB499">
      <w:pPr>
        <w:shd w:val="clear" w:color="auto" w:fill="auto"/>
        <w:spacing w:line="360" w:lineRule="auto"/>
        <w:ind w:firstLine="420" w:firstLineChars="200"/>
        <w:jc w:val="left"/>
        <w:textAlignment w:val="center"/>
        <w:rPr>
          <w:sz w:val="21"/>
        </w:rPr>
      </w:pPr>
      <w:r>
        <w:rPr>
          <w:rFonts w:hint="eastAsia" w:ascii="宋体" w:hAnsi="宋体" w:eastAsia="宋体" w:cs="宋体"/>
          <w:sz w:val="21"/>
          <w:szCs w:val="21"/>
        </w:rPr>
        <w:t>材料一</w:t>
      </w:r>
      <w:r>
        <w:rPr>
          <w:rFonts w:hint="eastAsia" w:ascii="宋体" w:hAnsi="宋体" w:eastAsia="宋体" w:cs="宋体"/>
          <w:kern w:val="0"/>
          <w:sz w:val="21"/>
          <w:szCs w:val="21"/>
        </w:rPr>
        <w:t> </w:t>
      </w:r>
      <w:r>
        <w:rPr>
          <w:rFonts w:ascii="Times New Roman" w:hAnsi="Times New Roman" w:eastAsia="Times New Roman" w:cs="Times New Roman"/>
          <w:kern w:val="0"/>
          <w:sz w:val="24"/>
          <w:szCs w:val="24"/>
        </w:rPr>
        <w:t> </w:t>
      </w:r>
      <w:r>
        <w:rPr>
          <w:rFonts w:ascii="楷体" w:hAnsi="楷体" w:eastAsia="楷体" w:cs="楷体"/>
          <w:sz w:val="21"/>
        </w:rPr>
        <w:t>下表反映的是明清之际三位思想家的思想。</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7"/>
        <w:gridCol w:w="6230"/>
      </w:tblGrid>
      <w:tr w14:paraId="34B3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1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E6D01">
            <w:pPr>
              <w:shd w:val="clear" w:color="auto" w:fill="auto"/>
              <w:spacing w:line="360" w:lineRule="auto"/>
              <w:jc w:val="left"/>
              <w:textAlignment w:val="center"/>
              <w:rPr>
                <w:sz w:val="21"/>
              </w:rPr>
            </w:pPr>
            <w:r>
              <w:rPr>
                <w:rFonts w:ascii="楷体" w:hAnsi="楷体" w:eastAsia="楷体" w:cs="楷体"/>
                <w:sz w:val="21"/>
              </w:rPr>
              <w:t>黄宗羲《明夷待访录》</w:t>
            </w:r>
          </w:p>
        </w:tc>
        <w:tc>
          <w:tcPr>
            <w:tcW w:w="6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EB393">
            <w:pPr>
              <w:shd w:val="clear" w:color="auto" w:fill="auto"/>
              <w:spacing w:line="360" w:lineRule="auto"/>
              <w:jc w:val="left"/>
              <w:textAlignment w:val="center"/>
              <w:rPr>
                <w:sz w:val="21"/>
              </w:rPr>
            </w:pPr>
            <w:r>
              <w:rPr>
                <w:rFonts w:ascii="楷体" w:hAnsi="楷体" w:eastAsia="楷体" w:cs="楷体"/>
                <w:sz w:val="21"/>
              </w:rPr>
              <w:t>“今也天下之人怨恶其君，视之如</w:t>
            </w:r>
            <w:r>
              <w:rPr>
                <w:rFonts w:hint="eastAsia" w:ascii="楷体" w:hAnsi="楷体" w:eastAsia="楷体" w:cs="楷体"/>
                <w:color w:val="000000" w:themeColor="text1"/>
                <w:sz w:val="21"/>
                <w:lang w:val="en-US" w:eastAsia="zh-CN"/>
                <w14:textFill>
                  <w14:solidFill>
                    <w14:schemeClr w14:val="tx1"/>
                  </w14:solidFill>
                </w14:textFill>
              </w:rPr>
              <w:t>寇</w:t>
            </w:r>
            <w:r>
              <w:rPr>
                <w:rFonts w:ascii="楷体" w:hAnsi="楷体" w:eastAsia="楷体" w:cs="楷体"/>
                <w:sz w:val="21"/>
              </w:rPr>
              <w:t>仇，名之为独夫。”“为天下之大害者，君而已矣。”</w:t>
            </w:r>
          </w:p>
        </w:tc>
      </w:tr>
      <w:tr w14:paraId="74FA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1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CD5A4">
            <w:pPr>
              <w:shd w:val="clear" w:color="auto" w:fill="auto"/>
              <w:spacing w:line="360" w:lineRule="auto"/>
              <w:jc w:val="left"/>
              <w:textAlignment w:val="center"/>
              <w:rPr>
                <w:sz w:val="21"/>
              </w:rPr>
            </w:pPr>
            <w:r>
              <w:rPr>
                <w:rFonts w:ascii="楷体" w:hAnsi="楷体" w:eastAsia="楷体" w:cs="楷体"/>
                <w:sz w:val="21"/>
              </w:rPr>
              <w:t>顾炎武《日知录》</w:t>
            </w:r>
          </w:p>
        </w:tc>
        <w:tc>
          <w:tcPr>
            <w:tcW w:w="6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63C25">
            <w:pPr>
              <w:shd w:val="clear" w:color="auto" w:fill="auto"/>
              <w:spacing w:line="360" w:lineRule="auto"/>
              <w:jc w:val="left"/>
              <w:textAlignment w:val="center"/>
              <w:rPr>
                <w:sz w:val="21"/>
              </w:rPr>
            </w:pPr>
            <w:r>
              <w:rPr>
                <w:rFonts w:ascii="楷体" w:hAnsi="楷体" w:eastAsia="楷体" w:cs="楷体"/>
                <w:sz w:val="21"/>
              </w:rPr>
              <w:t>“一切外储尽令解京，而搜括之令自此始矣。……自此搜括不已，至于加派；加派不已，至于捐助，以迄于亡。”</w:t>
            </w:r>
          </w:p>
        </w:tc>
      </w:tr>
      <w:tr w14:paraId="257E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1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AE4E3">
            <w:pPr>
              <w:shd w:val="clear" w:color="auto" w:fill="auto"/>
              <w:spacing w:line="360" w:lineRule="auto"/>
              <w:jc w:val="left"/>
              <w:textAlignment w:val="center"/>
              <w:rPr>
                <w:sz w:val="21"/>
              </w:rPr>
            </w:pPr>
            <w:r>
              <w:rPr>
                <w:rFonts w:ascii="楷体" w:hAnsi="楷体" w:eastAsia="楷体" w:cs="楷体"/>
                <w:sz w:val="21"/>
              </w:rPr>
              <w:t>王夫之《读通鉴论》</w:t>
            </w:r>
          </w:p>
        </w:tc>
        <w:tc>
          <w:tcPr>
            <w:tcW w:w="6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1C1BC">
            <w:pPr>
              <w:shd w:val="clear" w:color="auto" w:fill="auto"/>
              <w:spacing w:line="360" w:lineRule="auto"/>
              <w:jc w:val="left"/>
              <w:textAlignment w:val="center"/>
              <w:rPr>
                <w:sz w:val="21"/>
              </w:rPr>
            </w:pPr>
            <w:r>
              <w:rPr>
                <w:rFonts w:ascii="楷体" w:hAnsi="楷体" w:eastAsia="楷体" w:cs="楷体"/>
                <w:sz w:val="21"/>
              </w:rPr>
              <w:t>“上统之则乱，分统之则治。”“以天下论者，必循天下之公，天下非一</w:t>
            </w:r>
            <w:r>
              <w:rPr>
                <w:rFonts w:hint="eastAsia" w:ascii="楷体" w:hAnsi="楷体" w:eastAsia="楷体" w:cs="楷体"/>
                <w:color w:val="000000" w:themeColor="text1"/>
                <w:sz w:val="21"/>
                <w:lang w:val="en-US" w:eastAsia="zh-CN"/>
                <w14:textFill>
                  <w14:solidFill>
                    <w14:schemeClr w14:val="tx1"/>
                  </w14:solidFill>
                </w14:textFill>
              </w:rPr>
              <w:t>姓</w:t>
            </w:r>
            <w:r>
              <w:rPr>
                <w:rFonts w:ascii="楷体" w:hAnsi="楷体" w:eastAsia="楷体" w:cs="楷体"/>
                <w:sz w:val="21"/>
              </w:rPr>
              <w:t>之私也。”</w:t>
            </w:r>
          </w:p>
        </w:tc>
      </w:tr>
    </w:tbl>
    <w:p w14:paraId="7F25735B">
      <w:pPr>
        <w:shd w:val="clear" w:color="auto" w:fill="auto"/>
        <w:spacing w:line="360" w:lineRule="auto"/>
        <w:ind w:firstLine="420" w:firstLineChars="200"/>
        <w:jc w:val="left"/>
        <w:textAlignment w:val="center"/>
        <w:rPr>
          <w:sz w:val="21"/>
        </w:rPr>
      </w:pPr>
      <w:r>
        <w:rPr>
          <w:rFonts w:hint="eastAsia" w:ascii="宋体" w:hAnsi="宋体" w:eastAsia="宋体" w:cs="宋体"/>
          <w:sz w:val="21"/>
        </w:rPr>
        <w:t>材料二</w:t>
      </w:r>
      <w:r>
        <w:rPr>
          <w:rFonts w:ascii="楷体" w:hAnsi="楷体" w:eastAsia="楷体" w:cs="楷体"/>
          <w:sz w:val="21"/>
        </w:rPr>
        <w:t xml:space="preserve"> </w:t>
      </w:r>
      <w:r>
        <w:rPr>
          <w:rFonts w:hint="eastAsia" w:ascii="楷体" w:hAnsi="楷体" w:eastAsia="楷体" w:cs="楷体"/>
          <w:sz w:val="21"/>
          <w:lang w:val="en-US" w:eastAsia="zh-CN"/>
        </w:rPr>
        <w:t xml:space="preserve">  </w:t>
      </w:r>
      <w:r>
        <w:rPr>
          <w:rFonts w:ascii="楷体" w:hAnsi="楷体" w:eastAsia="楷体" w:cs="楷体"/>
          <w:sz w:val="21"/>
        </w:rPr>
        <w:t>顾炎武以“有私为人之常情”的观点来考察社会经济运作的自然规律，鲜明地提出了“为天子、为百姓之心，必不如其自为”的近代经济学命题。他认为，只有让人民“自为”，而不是让那些口称“为天子为百姓”的官员们来“程督”百姓们如何作为，才能最大限度地激发人们勤劳致富的积极性。</w:t>
      </w:r>
      <w:r>
        <w:rPr>
          <w:rFonts w:ascii="楷体" w:hAnsi="楷体" w:eastAsia="楷体" w:cs="楷体"/>
          <w:sz w:val="21"/>
          <w:highlight w:val="none"/>
        </w:rPr>
        <w:t>黄宗羲从肯定人们追求其合理的经济利益的观点出发，</w:t>
      </w:r>
      <w:r>
        <w:rPr>
          <w:rFonts w:hint="eastAsia" w:ascii="楷体" w:hAnsi="楷体" w:eastAsia="楷体" w:cs="楷体"/>
          <w:sz w:val="21"/>
          <w:highlight w:val="none"/>
          <w:lang w:val="en-US" w:eastAsia="zh-CN"/>
        </w:rPr>
        <w:t>主张“工商皆本”；</w:t>
      </w:r>
      <w:r>
        <w:rPr>
          <w:rFonts w:ascii="楷体" w:hAnsi="楷体" w:eastAsia="楷体" w:cs="楷体"/>
          <w:color w:val="auto"/>
          <w:sz w:val="21"/>
          <w:highlight w:val="none"/>
        </w:rPr>
        <w:t>著名的“黄宗羲定律”</w:t>
      </w:r>
      <w:r>
        <w:rPr>
          <w:rFonts w:ascii="楷体" w:hAnsi="楷体" w:eastAsia="楷体" w:cs="楷体"/>
          <w:sz w:val="21"/>
          <w:highlight w:val="none"/>
        </w:rPr>
        <w:t>，更深刻地揭示了农民所</w:t>
      </w:r>
      <w:r>
        <w:rPr>
          <w:rFonts w:hint="eastAsia" w:ascii="楷体" w:hAnsi="楷体" w:eastAsia="楷体" w:cs="楷体"/>
          <w:color w:val="000000" w:themeColor="text1"/>
          <w:sz w:val="21"/>
          <w:highlight w:val="none"/>
          <w:lang w:val="en-US" w:eastAsia="zh-CN"/>
          <w14:textFill>
            <w14:solidFill>
              <w14:schemeClr w14:val="tx1"/>
            </w14:solidFill>
          </w14:textFill>
        </w:rPr>
        <w:t>遭</w:t>
      </w:r>
      <w:r>
        <w:rPr>
          <w:rFonts w:ascii="楷体" w:hAnsi="楷体" w:eastAsia="楷体" w:cs="楷体"/>
          <w:sz w:val="21"/>
          <w:highlight w:val="none"/>
        </w:rPr>
        <w:t>受的苦难，反映了广大农民群众要求摆脱专制主义的超经济强制式掠夺的愿望。王</w:t>
      </w:r>
      <w:r>
        <w:rPr>
          <w:rFonts w:ascii="楷体" w:hAnsi="楷体" w:eastAsia="楷体" w:cs="楷体"/>
          <w:sz w:val="21"/>
        </w:rPr>
        <w:t>夫之也对皇权专制主义直接介入社会经济运作进行了深刻的批判，他说：“人无不自谋其生，上之谋之，不如其自谋。”</w:t>
      </w:r>
    </w:p>
    <w:p w14:paraId="69941EE2">
      <w:pPr>
        <w:shd w:val="clear" w:color="auto" w:fill="auto"/>
        <w:spacing w:line="360" w:lineRule="auto"/>
        <w:ind w:firstLine="600"/>
        <w:jc w:val="right"/>
        <w:textAlignment w:val="center"/>
        <w:rPr>
          <w:rFonts w:hint="eastAsia" w:ascii="宋体" w:hAnsi="宋体" w:eastAsia="宋体" w:cs="宋体"/>
          <w:sz w:val="21"/>
        </w:rPr>
      </w:pPr>
      <w:r>
        <w:rPr>
          <w:rFonts w:hint="eastAsia" w:ascii="宋体" w:hAnsi="宋体" w:eastAsia="宋体" w:cs="宋体"/>
          <w:sz w:val="21"/>
        </w:rPr>
        <w:t>——摘编自许苏民《明清之际政治哲学的突破——以顾炎武、黄宗羲、王夫之为例》</w:t>
      </w:r>
    </w:p>
    <w:p w14:paraId="44DF135B">
      <w:pPr>
        <w:shd w:val="clear" w:color="auto" w:fill="auto"/>
        <w:spacing w:line="360" w:lineRule="auto"/>
        <w:jc w:val="left"/>
        <w:textAlignment w:val="center"/>
        <w:rPr>
          <w:sz w:val="21"/>
        </w:rPr>
      </w:pPr>
      <w:r>
        <w:rPr>
          <w:sz w:val="21"/>
        </w:rPr>
        <w:t>（1）根据材料一、二，概括明清之际三位思想家的共同主张，并结合所学知识说明他们思想产生的背景。</w:t>
      </w:r>
      <w:r>
        <w:rPr>
          <w:rFonts w:hint="eastAsia"/>
          <w:sz w:val="21"/>
          <w:lang w:eastAsia="zh-CN"/>
        </w:rPr>
        <w:t>（</w:t>
      </w:r>
      <w:r>
        <w:rPr>
          <w:rFonts w:hint="eastAsia"/>
          <w:sz w:val="21"/>
          <w:lang w:val="en-US" w:eastAsia="zh-CN"/>
        </w:rPr>
        <w:t>8分）</w:t>
      </w:r>
    </w:p>
    <w:p w14:paraId="578123D2">
      <w:pPr>
        <w:shd w:val="clear" w:color="auto" w:fill="auto"/>
        <w:spacing w:line="360" w:lineRule="auto"/>
        <w:jc w:val="left"/>
        <w:textAlignment w:val="center"/>
        <w:rPr>
          <w:sz w:val="21"/>
        </w:rPr>
      </w:pPr>
      <w:r>
        <w:rPr>
          <w:sz w:val="21"/>
        </w:rPr>
        <w:t>（2）根据材料一、二并结合所学知识，简要评价明清之际出现的</w:t>
      </w:r>
      <w:r>
        <w:rPr>
          <w:rFonts w:hint="eastAsia"/>
          <w:color w:val="000000" w:themeColor="text1"/>
          <w:sz w:val="21"/>
          <w:lang w:eastAsia="zh-CN"/>
          <w14:textFill>
            <w14:solidFill>
              <w14:schemeClr w14:val="tx1"/>
            </w14:solidFill>
          </w14:textFill>
        </w:rPr>
        <w:t>“</w:t>
      </w:r>
      <w:r>
        <w:rPr>
          <w:color w:val="000000" w:themeColor="text1"/>
          <w:sz w:val="21"/>
          <w14:textFill>
            <w14:solidFill>
              <w14:schemeClr w14:val="tx1"/>
            </w14:solidFill>
          </w14:textFill>
        </w:rPr>
        <w:t>进步</w:t>
      </w:r>
      <w:r>
        <w:rPr>
          <w:rFonts w:hint="eastAsia"/>
          <w:color w:val="000000" w:themeColor="text1"/>
          <w:sz w:val="21"/>
          <w:lang w:eastAsia="zh-CN"/>
          <w14:textFill>
            <w14:solidFill>
              <w14:schemeClr w14:val="tx1"/>
            </w14:solidFill>
          </w14:textFill>
        </w:rPr>
        <w:t>”</w:t>
      </w:r>
      <w:r>
        <w:rPr>
          <w:sz w:val="21"/>
        </w:rPr>
        <w:t>思想。</w:t>
      </w:r>
      <w:r>
        <w:rPr>
          <w:rFonts w:hint="eastAsia"/>
          <w:sz w:val="21"/>
          <w:lang w:eastAsia="zh-CN"/>
        </w:rPr>
        <w:t>（</w:t>
      </w:r>
      <w:r>
        <w:rPr>
          <w:rFonts w:hint="eastAsia"/>
          <w:sz w:val="21"/>
          <w:lang w:val="en-US" w:eastAsia="zh-CN"/>
        </w:rPr>
        <w:t>6分）</w:t>
      </w:r>
    </w:p>
    <w:p w14:paraId="0A875B24">
      <w:pPr>
        <w:shd w:val="clear" w:color="auto" w:fill="auto"/>
        <w:spacing w:line="360" w:lineRule="auto"/>
        <w:jc w:val="left"/>
        <w:textAlignment w:val="center"/>
        <w:rPr>
          <w:sz w:val="21"/>
        </w:rPr>
      </w:pPr>
    </w:p>
    <w:p w14:paraId="616523D7">
      <w:pPr>
        <w:shd w:val="clear" w:color="auto" w:fill="auto"/>
        <w:spacing w:line="360" w:lineRule="auto"/>
        <w:jc w:val="left"/>
        <w:textAlignment w:val="center"/>
        <w:rPr>
          <w:sz w:val="21"/>
        </w:rPr>
      </w:pPr>
    </w:p>
    <w:p w14:paraId="3AC413E0">
      <w:pPr>
        <w:shd w:val="clear" w:color="auto" w:fill="auto"/>
        <w:spacing w:line="360" w:lineRule="auto"/>
        <w:jc w:val="left"/>
        <w:textAlignment w:val="center"/>
        <w:rPr>
          <w:sz w:val="21"/>
        </w:rPr>
      </w:pPr>
      <w:r>
        <w:rPr>
          <w:sz w:val="21"/>
        </w:rPr>
        <w:t>18</w:t>
      </w:r>
      <w:r>
        <w:rPr>
          <w:sz w:val="21"/>
          <w:highlight w:val="none"/>
        </w:rPr>
        <w:t>．</w:t>
      </w:r>
      <w:r>
        <w:rPr>
          <w:rFonts w:hint="eastAsia"/>
          <w:sz w:val="21"/>
          <w:highlight w:val="none"/>
          <w:lang w:eastAsia="zh-CN"/>
        </w:rPr>
        <w:t>（</w:t>
      </w:r>
      <w:r>
        <w:rPr>
          <w:rFonts w:hint="eastAsia"/>
          <w:sz w:val="21"/>
          <w:highlight w:val="none"/>
          <w:lang w:val="en-US" w:eastAsia="zh-CN"/>
        </w:rPr>
        <w:t>14分）</w:t>
      </w:r>
      <w:r>
        <w:rPr>
          <w:sz w:val="21"/>
        </w:rPr>
        <w:t>阅读材料，完成下列要求。</w:t>
      </w:r>
    </w:p>
    <w:p w14:paraId="1AA6A725">
      <w:pPr>
        <w:shd w:val="clear" w:color="auto" w:fill="auto"/>
        <w:spacing w:line="360" w:lineRule="auto"/>
        <w:ind w:firstLine="600"/>
        <w:jc w:val="left"/>
        <w:textAlignment w:val="center"/>
        <w:rPr>
          <w:sz w:val="21"/>
        </w:rPr>
      </w:pPr>
      <w:r>
        <w:rPr>
          <w:rFonts w:hint="eastAsia" w:ascii="宋体" w:hAnsi="宋体" w:eastAsia="宋体" w:cs="宋体"/>
          <w:sz w:val="21"/>
          <w:szCs w:val="21"/>
        </w:rPr>
        <w:t>材料</w:t>
      </w:r>
      <w:r>
        <w:rPr>
          <w:rFonts w:hint="eastAsia" w:ascii="宋体" w:hAnsi="宋体" w:eastAsia="宋体" w:cs="宋体"/>
          <w:kern w:val="0"/>
          <w:sz w:val="21"/>
          <w:szCs w:val="21"/>
        </w:rPr>
        <w:t> </w:t>
      </w:r>
      <w:r>
        <w:rPr>
          <w:rFonts w:ascii="Times New Roman" w:hAnsi="Times New Roman" w:eastAsia="Times New Roman" w:cs="Times New Roman"/>
          <w:kern w:val="0"/>
          <w:sz w:val="24"/>
          <w:szCs w:val="24"/>
        </w:rPr>
        <w:t> </w:t>
      </w:r>
      <w:r>
        <w:rPr>
          <w:rFonts w:ascii="楷体" w:hAnsi="楷体" w:eastAsia="楷体" w:cs="楷体"/>
          <w:sz w:val="21"/>
        </w:rPr>
        <w:t>以下为改革开放以来关于民营经济政策的六则文献摘录：</w:t>
      </w:r>
    </w:p>
    <w:p w14:paraId="1A559D2D">
      <w:pPr>
        <w:shd w:val="clear" w:color="auto" w:fill="auto"/>
        <w:spacing w:line="360" w:lineRule="auto"/>
        <w:ind w:firstLine="600"/>
        <w:jc w:val="left"/>
        <w:textAlignment w:val="center"/>
        <w:rPr>
          <w:sz w:val="21"/>
        </w:rPr>
      </w:pPr>
      <w:r>
        <w:rPr>
          <w:sz w:val="21"/>
        </w:rPr>
        <w:t>1</w:t>
      </w:r>
      <w:r>
        <w:rPr>
          <w:rFonts w:ascii="楷体" w:hAnsi="楷体" w:eastAsia="楷体" w:cs="楷体"/>
          <w:sz w:val="21"/>
        </w:rPr>
        <w:t>、</w:t>
      </w:r>
      <w:r>
        <w:rPr>
          <w:sz w:val="21"/>
        </w:rPr>
        <w:t>1984</w:t>
      </w:r>
      <w:r>
        <w:rPr>
          <w:rFonts w:ascii="楷体" w:hAnsi="楷体" w:eastAsia="楷体" w:cs="楷体"/>
          <w:sz w:val="21"/>
        </w:rPr>
        <w:t>年《中共中央关于经济体制改革的决定》</w:t>
      </w:r>
    </w:p>
    <w:p w14:paraId="2EFB31E6">
      <w:pPr>
        <w:shd w:val="clear" w:color="auto" w:fill="auto"/>
        <w:spacing w:line="360" w:lineRule="auto"/>
        <w:ind w:firstLine="600"/>
        <w:jc w:val="left"/>
        <w:textAlignment w:val="center"/>
        <w:rPr>
          <w:sz w:val="21"/>
        </w:rPr>
      </w:pPr>
      <w:r>
        <w:rPr>
          <w:rFonts w:ascii="楷体" w:hAnsi="楷体" w:eastAsia="楷体" w:cs="楷体"/>
          <w:sz w:val="21"/>
        </w:rPr>
        <w:t>“我国现在的个体经济是社会主义公有制经济的必要补充……要鼓励个体经济在国家规定的范围内和工商行政管理下适当发展。”</w:t>
      </w:r>
    </w:p>
    <w:p w14:paraId="7CA9A807">
      <w:pPr>
        <w:shd w:val="clear" w:color="auto" w:fill="auto"/>
        <w:spacing w:line="360" w:lineRule="auto"/>
        <w:ind w:firstLine="600"/>
        <w:jc w:val="left"/>
        <w:textAlignment w:val="center"/>
        <w:rPr>
          <w:sz w:val="21"/>
        </w:rPr>
      </w:pPr>
      <w:r>
        <w:rPr>
          <w:sz w:val="21"/>
        </w:rPr>
        <w:t>2</w:t>
      </w:r>
      <w:r>
        <w:rPr>
          <w:rFonts w:ascii="楷体" w:hAnsi="楷体" w:eastAsia="楷体" w:cs="楷体"/>
          <w:sz w:val="21"/>
        </w:rPr>
        <w:t>、</w:t>
      </w:r>
      <w:r>
        <w:rPr>
          <w:sz w:val="21"/>
        </w:rPr>
        <w:t>1992</w:t>
      </w:r>
      <w:r>
        <w:rPr>
          <w:rFonts w:ascii="楷体" w:hAnsi="楷体" w:eastAsia="楷体" w:cs="楷体"/>
          <w:sz w:val="21"/>
        </w:rPr>
        <w:t>年邓小平南巡讲话</w:t>
      </w:r>
    </w:p>
    <w:p w14:paraId="3F57443A">
      <w:pPr>
        <w:shd w:val="clear" w:color="auto" w:fill="auto"/>
        <w:spacing w:line="360" w:lineRule="auto"/>
        <w:ind w:firstLine="600"/>
        <w:jc w:val="left"/>
        <w:textAlignment w:val="center"/>
        <w:rPr>
          <w:sz w:val="21"/>
        </w:rPr>
      </w:pPr>
      <w:r>
        <w:rPr>
          <w:rFonts w:ascii="楷体" w:hAnsi="楷体" w:eastAsia="楷体" w:cs="楷体"/>
          <w:sz w:val="21"/>
        </w:rPr>
        <w:t>“计划多一点还是市场多一点，不是社会主义与资本主义的本质区别……对非公有制经济要大胆试、大胆闯。”</w:t>
      </w:r>
    </w:p>
    <w:p w14:paraId="7635B692">
      <w:pPr>
        <w:shd w:val="clear" w:color="auto" w:fill="auto"/>
        <w:spacing w:line="360" w:lineRule="auto"/>
        <w:ind w:firstLine="600"/>
        <w:jc w:val="left"/>
        <w:textAlignment w:val="center"/>
        <w:rPr>
          <w:sz w:val="21"/>
        </w:rPr>
      </w:pPr>
      <w:r>
        <w:rPr>
          <w:sz w:val="21"/>
        </w:rPr>
        <w:t>3</w:t>
      </w:r>
      <w:r>
        <w:rPr>
          <w:rFonts w:ascii="楷体" w:hAnsi="楷体" w:eastAsia="楷体" w:cs="楷体"/>
          <w:sz w:val="21"/>
        </w:rPr>
        <w:t>、</w:t>
      </w:r>
      <w:r>
        <w:rPr>
          <w:sz w:val="21"/>
        </w:rPr>
        <w:t>1997</w:t>
      </w:r>
      <w:r>
        <w:rPr>
          <w:rFonts w:ascii="楷体" w:hAnsi="楷体" w:eastAsia="楷体" w:cs="楷体"/>
          <w:sz w:val="21"/>
        </w:rPr>
        <w:t>年中共十五大报告</w:t>
      </w:r>
    </w:p>
    <w:p w14:paraId="2C7ABCA6">
      <w:pPr>
        <w:shd w:val="clear" w:color="auto" w:fill="auto"/>
        <w:spacing w:line="360" w:lineRule="auto"/>
        <w:ind w:firstLine="600"/>
        <w:jc w:val="left"/>
        <w:textAlignment w:val="center"/>
        <w:rPr>
          <w:sz w:val="21"/>
        </w:rPr>
      </w:pPr>
      <w:r>
        <w:rPr>
          <w:rFonts w:ascii="楷体" w:hAnsi="楷体" w:eastAsia="楷体" w:cs="楷体"/>
          <w:sz w:val="21"/>
        </w:rPr>
        <w:t>“非公有制经济是我国社会主义市场经济的重要组成部分……要继续鼓励、引导，使之健康发展。”</w:t>
      </w:r>
    </w:p>
    <w:p w14:paraId="3467F5C9">
      <w:pPr>
        <w:shd w:val="clear" w:color="auto" w:fill="auto"/>
        <w:spacing w:line="360" w:lineRule="auto"/>
        <w:ind w:firstLine="600"/>
        <w:jc w:val="left"/>
        <w:textAlignment w:val="center"/>
        <w:rPr>
          <w:sz w:val="21"/>
        </w:rPr>
      </w:pPr>
      <w:r>
        <w:rPr>
          <w:sz w:val="21"/>
        </w:rPr>
        <w:t>4</w:t>
      </w:r>
      <w:r>
        <w:rPr>
          <w:rFonts w:ascii="楷体" w:hAnsi="楷体" w:eastAsia="楷体" w:cs="楷体"/>
          <w:sz w:val="21"/>
        </w:rPr>
        <w:t>、</w:t>
      </w:r>
      <w:r>
        <w:rPr>
          <w:sz w:val="21"/>
        </w:rPr>
        <w:t>2001</w:t>
      </w:r>
      <w:r>
        <w:rPr>
          <w:rFonts w:ascii="楷体" w:hAnsi="楷体" w:eastAsia="楷体" w:cs="楷体"/>
          <w:sz w:val="21"/>
        </w:rPr>
        <w:t>年国务院《关于促进非公有制经济发展的若干意见》</w:t>
      </w:r>
    </w:p>
    <w:p w14:paraId="521217A9">
      <w:pPr>
        <w:shd w:val="clear" w:color="auto" w:fill="auto"/>
        <w:spacing w:line="360" w:lineRule="auto"/>
        <w:ind w:firstLine="600"/>
        <w:jc w:val="left"/>
        <w:textAlignment w:val="center"/>
        <w:rPr>
          <w:sz w:val="21"/>
        </w:rPr>
      </w:pPr>
      <w:r>
        <w:rPr>
          <w:rFonts w:ascii="楷体" w:hAnsi="楷体" w:eastAsia="楷体" w:cs="楷体"/>
          <w:sz w:val="21"/>
        </w:rPr>
        <w:t>“进一步放宽非公有制经济的市场准入领域，在投融资、税收、土地使用等方面与其他企业享受同等待遇。”</w:t>
      </w:r>
    </w:p>
    <w:p w14:paraId="72984583">
      <w:pPr>
        <w:shd w:val="clear" w:color="auto" w:fill="auto"/>
        <w:spacing w:line="360" w:lineRule="auto"/>
        <w:ind w:firstLine="600"/>
        <w:jc w:val="left"/>
        <w:textAlignment w:val="center"/>
        <w:rPr>
          <w:sz w:val="21"/>
        </w:rPr>
      </w:pPr>
      <w:r>
        <w:rPr>
          <w:sz w:val="21"/>
        </w:rPr>
        <w:t>5</w:t>
      </w:r>
      <w:r>
        <w:rPr>
          <w:rFonts w:ascii="楷体" w:hAnsi="楷体" w:eastAsia="楷体" w:cs="楷体"/>
          <w:sz w:val="21"/>
        </w:rPr>
        <w:t>、</w:t>
      </w:r>
      <w:r>
        <w:rPr>
          <w:sz w:val="21"/>
        </w:rPr>
        <w:t>2005</w:t>
      </w:r>
      <w:r>
        <w:rPr>
          <w:rFonts w:ascii="楷体" w:hAnsi="楷体" w:eastAsia="楷体" w:cs="楷体"/>
          <w:sz w:val="21"/>
        </w:rPr>
        <w:t>年辽宁省统计局《东北振兴背景下民营经济发展报告》</w:t>
      </w:r>
    </w:p>
    <w:p w14:paraId="4C3AE631">
      <w:pPr>
        <w:shd w:val="clear" w:color="auto" w:fill="auto"/>
        <w:spacing w:line="360" w:lineRule="auto"/>
        <w:ind w:firstLine="600"/>
        <w:jc w:val="left"/>
        <w:textAlignment w:val="center"/>
        <w:rPr>
          <w:sz w:val="21"/>
        </w:rPr>
      </w:pPr>
      <w:r>
        <w:rPr>
          <w:rFonts w:ascii="楷体" w:hAnsi="楷体" w:eastAsia="楷体" w:cs="楷体"/>
          <w:sz w:val="21"/>
        </w:rPr>
        <w:t>“</w:t>
      </w:r>
      <w:r>
        <w:rPr>
          <w:sz w:val="21"/>
        </w:rPr>
        <w:t>2005</w:t>
      </w:r>
      <w:r>
        <w:rPr>
          <w:rFonts w:ascii="楷体" w:hAnsi="楷体" w:eastAsia="楷体" w:cs="楷体"/>
          <w:sz w:val="21"/>
        </w:rPr>
        <w:t>年，辽宁省民营经济增加值占全省GDP的</w:t>
      </w:r>
      <w:r>
        <w:rPr>
          <w:sz w:val="21"/>
        </w:rPr>
        <w:t>52</w:t>
      </w:r>
      <w:r>
        <w:rPr>
          <w:rFonts w:ascii="楷体" w:hAnsi="楷体" w:eastAsia="楷体" w:cs="楷体"/>
          <w:sz w:val="21"/>
        </w:rPr>
        <w:t>%，吸纳就业人数占全省的</w:t>
      </w:r>
      <w:r>
        <w:rPr>
          <w:sz w:val="21"/>
        </w:rPr>
        <w:t>78</w:t>
      </w:r>
      <w:r>
        <w:rPr>
          <w:rFonts w:ascii="楷体" w:hAnsi="楷体" w:eastAsia="楷体" w:cs="楷体"/>
          <w:sz w:val="21"/>
        </w:rPr>
        <w:t>%，涌现出东软集团等一批科技创新型民营企业。”</w:t>
      </w:r>
    </w:p>
    <w:p w14:paraId="10552678">
      <w:pPr>
        <w:shd w:val="clear" w:color="auto" w:fill="auto"/>
        <w:spacing w:line="360" w:lineRule="auto"/>
        <w:ind w:firstLine="600"/>
        <w:jc w:val="left"/>
        <w:textAlignment w:val="center"/>
        <w:rPr>
          <w:sz w:val="21"/>
        </w:rPr>
      </w:pPr>
      <w:r>
        <w:rPr>
          <w:sz w:val="21"/>
        </w:rPr>
        <w:t>6</w:t>
      </w:r>
      <w:r>
        <w:rPr>
          <w:rFonts w:ascii="楷体" w:hAnsi="楷体" w:eastAsia="楷体" w:cs="楷体"/>
          <w:sz w:val="21"/>
        </w:rPr>
        <w:t>、</w:t>
      </w:r>
      <w:r>
        <w:rPr>
          <w:sz w:val="21"/>
        </w:rPr>
        <w:t>2019</w:t>
      </w:r>
      <w:r>
        <w:rPr>
          <w:rFonts w:ascii="楷体" w:hAnsi="楷体" w:eastAsia="楷体" w:cs="楷体"/>
          <w:sz w:val="21"/>
        </w:rPr>
        <w:t>年《中共中央国务院关于营造更好发展环境支持民营企业改革发展的意见》</w:t>
      </w:r>
    </w:p>
    <w:p w14:paraId="474D17C8">
      <w:pPr>
        <w:shd w:val="clear" w:color="auto" w:fill="auto"/>
        <w:spacing w:line="360" w:lineRule="auto"/>
        <w:ind w:firstLine="600"/>
        <w:jc w:val="left"/>
        <w:textAlignment w:val="center"/>
        <w:rPr>
          <w:sz w:val="21"/>
        </w:rPr>
      </w:pPr>
      <w:r>
        <w:rPr>
          <w:rFonts w:ascii="楷体" w:hAnsi="楷体" w:eastAsia="楷体" w:cs="楷体"/>
          <w:sz w:val="21"/>
        </w:rPr>
        <w:t>“健全平等保护的法治环境，完善民营企业参与国家重大战略实施机制，推动民营企业改革创新、转型升级。”</w:t>
      </w:r>
    </w:p>
    <w:p w14:paraId="5953A59B">
      <w:pPr>
        <w:shd w:val="clear" w:color="auto" w:fill="auto"/>
        <w:spacing w:line="360" w:lineRule="auto"/>
        <w:jc w:val="left"/>
        <w:textAlignment w:val="center"/>
        <w:rPr>
          <w:rFonts w:hint="default" w:eastAsia="宋体"/>
          <w:sz w:val="21"/>
          <w:lang w:val="en-US" w:eastAsia="zh-CN"/>
        </w:rPr>
      </w:pPr>
      <w:r>
        <w:rPr>
          <w:sz w:val="21"/>
        </w:rPr>
        <w:t>(1)根据材料，指出改革开放以来我国对民营经济政策调整的阶段性变化。</w:t>
      </w:r>
      <w:r>
        <w:rPr>
          <w:rFonts w:hint="eastAsia"/>
          <w:sz w:val="21"/>
          <w:lang w:eastAsia="zh-CN"/>
        </w:rPr>
        <w:t>（</w:t>
      </w:r>
      <w:r>
        <w:rPr>
          <w:rFonts w:hint="eastAsia"/>
          <w:sz w:val="21"/>
          <w:lang w:val="en-US" w:eastAsia="zh-CN"/>
        </w:rPr>
        <w:t>6分）</w:t>
      </w:r>
    </w:p>
    <w:p w14:paraId="5954E202">
      <w:pPr>
        <w:shd w:val="clear" w:color="auto" w:fill="auto"/>
        <w:spacing w:line="360" w:lineRule="auto"/>
        <w:jc w:val="left"/>
        <w:textAlignment w:val="center"/>
        <w:rPr>
          <w:rFonts w:hint="eastAsia"/>
          <w:sz w:val="21"/>
          <w:lang w:val="en-US" w:eastAsia="zh-CN"/>
        </w:rPr>
      </w:pPr>
      <w:r>
        <w:rPr>
          <w:sz w:val="21"/>
        </w:rPr>
        <w:t>(2)根据材料并结合所学知识，简析上述政策的调整对中国经济发展的推动作用。</w:t>
      </w:r>
      <w:r>
        <w:rPr>
          <w:rFonts w:hint="eastAsia"/>
          <w:sz w:val="21"/>
          <w:lang w:eastAsia="zh-CN"/>
        </w:rPr>
        <w:t>（</w:t>
      </w:r>
      <w:r>
        <w:rPr>
          <w:rFonts w:hint="eastAsia"/>
          <w:sz w:val="21"/>
          <w:lang w:val="en-US" w:eastAsia="zh-CN"/>
        </w:rPr>
        <w:t>8分）</w:t>
      </w:r>
    </w:p>
    <w:p w14:paraId="65600972">
      <w:pPr>
        <w:shd w:val="clear" w:color="auto" w:fill="auto"/>
        <w:spacing w:line="360" w:lineRule="auto"/>
        <w:jc w:val="left"/>
        <w:textAlignment w:val="center"/>
        <w:rPr>
          <w:rFonts w:hint="eastAsia"/>
          <w:sz w:val="21"/>
          <w:lang w:val="en-US" w:eastAsia="zh-CN"/>
        </w:rPr>
      </w:pPr>
    </w:p>
    <w:p w14:paraId="15B6C3E7">
      <w:pPr>
        <w:shd w:val="clear" w:color="auto" w:fill="auto"/>
        <w:spacing w:line="360" w:lineRule="auto"/>
        <w:jc w:val="left"/>
        <w:textAlignment w:val="center"/>
        <w:rPr>
          <w:rFonts w:hint="default"/>
          <w:sz w:val="21"/>
          <w:lang w:val="en-US" w:eastAsia="zh-CN"/>
        </w:rPr>
      </w:pPr>
    </w:p>
    <w:p w14:paraId="2004EA99">
      <w:pPr>
        <w:shd w:val="clear" w:color="auto" w:fill="auto"/>
        <w:spacing w:line="360" w:lineRule="auto"/>
        <w:jc w:val="left"/>
        <w:textAlignment w:val="center"/>
        <w:rPr>
          <w:sz w:val="21"/>
        </w:rPr>
      </w:pPr>
      <w:r>
        <w:rPr>
          <w:sz w:val="21"/>
        </w:rPr>
        <w:t>19．</w:t>
      </w:r>
      <w:r>
        <w:rPr>
          <w:rFonts w:hint="eastAsia"/>
          <w:sz w:val="21"/>
          <w:lang w:eastAsia="zh-CN"/>
        </w:rPr>
        <w:t>（</w:t>
      </w:r>
      <w:r>
        <w:rPr>
          <w:rFonts w:hint="eastAsia"/>
          <w:sz w:val="21"/>
          <w:lang w:val="en-US" w:eastAsia="zh-CN"/>
        </w:rPr>
        <w:t>12分</w:t>
      </w:r>
      <w:r>
        <w:rPr>
          <w:rFonts w:hint="eastAsia"/>
          <w:sz w:val="21"/>
          <w:lang w:eastAsia="zh-CN"/>
        </w:rPr>
        <w:t>）</w:t>
      </w:r>
      <w:r>
        <w:rPr>
          <w:sz w:val="21"/>
        </w:rPr>
        <w:t>阅读材料，回答问题。</w:t>
      </w:r>
    </w:p>
    <w:p w14:paraId="4D589B23">
      <w:pPr>
        <w:shd w:val="clear" w:color="auto" w:fill="auto"/>
        <w:spacing w:line="360" w:lineRule="auto"/>
        <w:ind w:firstLine="560"/>
        <w:jc w:val="left"/>
        <w:textAlignment w:val="center"/>
        <w:rPr>
          <w:sz w:val="21"/>
        </w:rPr>
      </w:pPr>
      <w:r>
        <w:rPr>
          <w:rFonts w:hint="eastAsia" w:ascii="宋体" w:hAnsi="宋体" w:eastAsia="宋体" w:cs="宋体"/>
          <w:sz w:val="21"/>
        </w:rPr>
        <w:t>材料一</w:t>
      </w:r>
      <w:r>
        <w:rPr>
          <w:rFonts w:hint="eastAsia" w:ascii="宋体" w:hAnsi="宋体" w:eastAsia="宋体" w:cs="宋体"/>
          <w:sz w:val="21"/>
          <w:lang w:val="en-US" w:eastAsia="zh-CN"/>
        </w:rPr>
        <w:t xml:space="preserve"> </w:t>
      </w:r>
      <w:r>
        <w:rPr>
          <w:rFonts w:hint="eastAsia" w:ascii="楷体" w:hAnsi="楷体" w:eastAsia="楷体" w:cs="楷体"/>
          <w:sz w:val="21"/>
          <w:lang w:val="en-US" w:eastAsia="zh-CN"/>
        </w:rPr>
        <w:t xml:space="preserve"> </w:t>
      </w:r>
      <w:r>
        <w:rPr>
          <w:rFonts w:ascii="楷体" w:hAnsi="楷体" w:eastAsia="楷体" w:cs="楷体"/>
          <w:sz w:val="21"/>
        </w:rPr>
        <w:t>晚清关税成为清廷的重要财源。鸦片战争前，粤海关每年税收约白银</w:t>
      </w:r>
      <w:r>
        <w:rPr>
          <w:sz w:val="21"/>
        </w:rPr>
        <w:t>100</w:t>
      </w:r>
      <w:r>
        <w:rPr>
          <w:rFonts w:ascii="楷体" w:hAnsi="楷体" w:eastAsia="楷体" w:cs="楷体"/>
          <w:sz w:val="21"/>
        </w:rPr>
        <w:t>万两。</w:t>
      </w:r>
      <w:r>
        <w:rPr>
          <w:sz w:val="21"/>
        </w:rPr>
        <w:t>1864</w:t>
      </w:r>
      <w:r>
        <w:rPr>
          <w:rFonts w:ascii="楷体" w:hAnsi="楷体" w:eastAsia="楷体" w:cs="楷体"/>
          <w:sz w:val="21"/>
        </w:rPr>
        <w:t>年，海关各项税收达</w:t>
      </w:r>
      <w:r>
        <w:rPr>
          <w:sz w:val="21"/>
        </w:rPr>
        <w:t>787</w:t>
      </w:r>
      <w:r>
        <w:rPr>
          <w:rFonts w:ascii="楷体" w:hAnsi="楷体" w:eastAsia="楷体" w:cs="楷体"/>
          <w:sz w:val="21"/>
        </w:rPr>
        <w:t>万余两；</w:t>
      </w:r>
      <w:r>
        <w:rPr>
          <w:sz w:val="21"/>
        </w:rPr>
        <w:t>1871</w:t>
      </w:r>
      <w:r>
        <w:rPr>
          <w:rFonts w:ascii="楷体" w:hAnsi="楷体" w:eastAsia="楷体" w:cs="楷体"/>
          <w:sz w:val="21"/>
        </w:rPr>
        <w:t>年达</w:t>
      </w:r>
      <w:r>
        <w:rPr>
          <w:sz w:val="21"/>
        </w:rPr>
        <w:t>1120</w:t>
      </w:r>
      <w:r>
        <w:rPr>
          <w:rFonts w:ascii="楷体" w:hAnsi="楷体" w:eastAsia="楷体" w:cs="楷体"/>
          <w:sz w:val="21"/>
        </w:rPr>
        <w:t>余万两。从</w:t>
      </w:r>
      <w:r>
        <w:rPr>
          <w:sz w:val="21"/>
        </w:rPr>
        <w:t>1860</w:t>
      </w:r>
      <w:r>
        <w:rPr>
          <w:rFonts w:ascii="楷体" w:hAnsi="楷体" w:eastAsia="楷体" w:cs="楷体"/>
          <w:sz w:val="21"/>
        </w:rPr>
        <w:t>年起，清廷为支付英法等国在第二次鸦片战争中勒索的赔款，以海关税收总额的五分之一按季摊付。关税成为清廷镇压太平天国运动的重要经费来源，各省舰船的购进，海防设施的设置，均依赖海关税款。此外，晚清关税还在各方面被列强掣肘，如税务司要职一般都由外籍人员担任，总理衙门支付税务司年薪银</w:t>
      </w:r>
      <w:r>
        <w:rPr>
          <w:sz w:val="21"/>
        </w:rPr>
        <w:t>6000</w:t>
      </w:r>
      <w:r>
        <w:rPr>
          <w:rFonts w:ascii="楷体" w:hAnsi="楷体" w:eastAsia="楷体" w:cs="楷体"/>
          <w:sz w:val="21"/>
        </w:rPr>
        <w:t>两；总税务司本人年薪高达银</w:t>
      </w:r>
      <w:r>
        <w:rPr>
          <w:sz w:val="21"/>
        </w:rPr>
        <w:t>12000</w:t>
      </w:r>
      <w:r>
        <w:rPr>
          <w:rFonts w:ascii="楷体" w:hAnsi="楷体" w:eastAsia="楷体" w:cs="楷体"/>
          <w:sz w:val="21"/>
        </w:rPr>
        <w:t>两，而海关的中国差役，年薪仅银</w:t>
      </w:r>
      <w:r>
        <w:rPr>
          <w:sz w:val="21"/>
        </w:rPr>
        <w:t>72</w:t>
      </w:r>
      <w:r>
        <w:rPr>
          <w:rFonts w:ascii="楷体" w:hAnsi="楷体" w:eastAsia="楷体" w:cs="楷体"/>
          <w:sz w:val="21"/>
        </w:rPr>
        <w:t>两。</w:t>
      </w:r>
    </w:p>
    <w:p w14:paraId="13A01BE9">
      <w:pPr>
        <w:shd w:val="clear" w:color="auto" w:fill="auto"/>
        <w:spacing w:line="360" w:lineRule="auto"/>
        <w:ind w:firstLine="560"/>
        <w:jc w:val="right"/>
        <w:textAlignment w:val="center"/>
        <w:rPr>
          <w:rFonts w:hint="eastAsia" w:ascii="宋体" w:hAnsi="宋体" w:eastAsia="宋体" w:cs="宋体"/>
          <w:sz w:val="21"/>
        </w:rPr>
      </w:pPr>
      <w:r>
        <w:rPr>
          <w:rFonts w:hint="eastAsia" w:ascii="宋体" w:hAnsi="宋体" w:eastAsia="宋体" w:cs="宋体"/>
          <w:sz w:val="21"/>
        </w:rPr>
        <w:t>——摘编自白寿彝《中国通史》</w:t>
      </w:r>
    </w:p>
    <w:p w14:paraId="4A0AD6DD">
      <w:pPr>
        <w:shd w:val="clear" w:color="auto" w:fill="auto"/>
        <w:spacing w:line="360" w:lineRule="auto"/>
        <w:ind w:firstLine="560"/>
        <w:jc w:val="left"/>
        <w:textAlignment w:val="center"/>
        <w:rPr>
          <w:sz w:val="21"/>
        </w:rPr>
      </w:pPr>
      <w:r>
        <w:rPr>
          <w:rFonts w:hint="eastAsia" w:ascii="宋体" w:hAnsi="宋体" w:eastAsia="宋体" w:cs="宋体"/>
          <w:sz w:val="21"/>
        </w:rPr>
        <w:t>材料二</w:t>
      </w:r>
      <w:r>
        <w:rPr>
          <w:rFonts w:hint="eastAsia" w:ascii="宋体" w:hAnsi="宋体" w:eastAsia="宋体" w:cs="宋体"/>
          <w:sz w:val="21"/>
          <w:lang w:val="en-US" w:eastAsia="zh-CN"/>
        </w:rPr>
        <w:t xml:space="preserve"> </w:t>
      </w:r>
      <w:r>
        <w:rPr>
          <w:rFonts w:hint="eastAsia" w:ascii="楷体" w:hAnsi="楷体" w:eastAsia="楷体" w:cs="楷体"/>
          <w:sz w:val="21"/>
          <w:lang w:val="en-US" w:eastAsia="zh-CN"/>
        </w:rPr>
        <w:t xml:space="preserve"> </w:t>
      </w:r>
      <w:r>
        <w:rPr>
          <w:sz w:val="21"/>
        </w:rPr>
        <w:t>1825</w:t>
      </w:r>
      <w:r>
        <w:rPr>
          <w:rFonts w:ascii="楷体" w:hAnsi="楷体" w:eastAsia="楷体" w:cs="楷体"/>
          <w:sz w:val="21"/>
        </w:rPr>
        <w:t>年英国经济危机期间，大量工业制成品以破产价格涌向美国市场。刚刚起步的美国工业，坚决要求政府采取措施抵制进口。应税商品的平均关税高达</w:t>
      </w:r>
      <w:r>
        <w:rPr>
          <w:sz w:val="21"/>
        </w:rPr>
        <w:t>49</w:t>
      </w:r>
      <w:r>
        <w:rPr>
          <w:rFonts w:ascii="楷体" w:hAnsi="楷体" w:eastAsia="楷体" w:cs="楷体"/>
          <w:sz w:val="21"/>
        </w:rPr>
        <w:t>%，即便把免税商品加在一起，平均税率也在</w:t>
      </w:r>
      <w:r>
        <w:rPr>
          <w:sz w:val="21"/>
        </w:rPr>
        <w:t>45</w:t>
      </w:r>
      <w:r>
        <w:rPr>
          <w:rFonts w:ascii="楷体" w:hAnsi="楷体" w:eastAsia="楷体" w:cs="楷体"/>
          <w:sz w:val="21"/>
        </w:rPr>
        <w:t>%以上。</w:t>
      </w:r>
      <w:r>
        <w:rPr>
          <w:sz w:val="21"/>
        </w:rPr>
        <w:t>1837</w:t>
      </w:r>
      <w:r>
        <w:rPr>
          <w:rFonts w:ascii="楷体" w:hAnsi="楷体" w:eastAsia="楷体" w:cs="楷体"/>
          <w:sz w:val="21"/>
        </w:rPr>
        <w:t>年美国出现经济危机，</w:t>
      </w:r>
      <w:r>
        <w:rPr>
          <w:sz w:val="21"/>
        </w:rPr>
        <w:t>1843</w:t>
      </w:r>
      <w:r>
        <w:rPr>
          <w:rFonts w:ascii="楷体" w:hAnsi="楷体" w:eastAsia="楷体" w:cs="楷体"/>
          <w:sz w:val="21"/>
        </w:rPr>
        <w:t>年生铁的关税为</w:t>
      </w:r>
      <w:r>
        <w:rPr>
          <w:sz w:val="21"/>
        </w:rPr>
        <w:t>35</w:t>
      </w:r>
      <w:r>
        <w:rPr>
          <w:rFonts w:ascii="楷体" w:hAnsi="楷体" w:eastAsia="楷体" w:cs="楷体"/>
          <w:sz w:val="21"/>
        </w:rPr>
        <w:t>.</w:t>
      </w:r>
      <w:r>
        <w:rPr>
          <w:sz w:val="21"/>
        </w:rPr>
        <w:t>7</w:t>
      </w:r>
      <w:r>
        <w:rPr>
          <w:rFonts w:ascii="楷体" w:hAnsi="楷体" w:eastAsia="楷体" w:cs="楷体"/>
          <w:sz w:val="21"/>
        </w:rPr>
        <w:t>%。第一次世界大战结束后，美国颁布“</w:t>
      </w:r>
      <w:r>
        <w:rPr>
          <w:sz w:val="21"/>
        </w:rPr>
        <w:t>1921</w:t>
      </w:r>
      <w:r>
        <w:rPr>
          <w:rFonts w:ascii="楷体" w:hAnsi="楷体" w:eastAsia="楷体" w:cs="楷体"/>
          <w:sz w:val="21"/>
        </w:rPr>
        <w:t>年紧急关税法”，在提高关税的同时还制定了有关反倾销的规定，对价格便宜的进口商品，制造额外障碍。</w:t>
      </w:r>
      <w:r>
        <w:rPr>
          <w:sz w:val="21"/>
        </w:rPr>
        <w:t>20</w:t>
      </w:r>
      <w:r>
        <w:rPr>
          <w:rFonts w:ascii="楷体" w:hAnsi="楷体" w:eastAsia="楷体" w:cs="楷体"/>
          <w:sz w:val="21"/>
        </w:rPr>
        <w:t>世纪</w:t>
      </w:r>
      <w:r>
        <w:rPr>
          <w:sz w:val="21"/>
        </w:rPr>
        <w:t>30</w:t>
      </w:r>
      <w:r>
        <w:rPr>
          <w:rFonts w:ascii="楷体" w:hAnsi="楷体" w:eastAsia="楷体" w:cs="楷体"/>
          <w:sz w:val="21"/>
        </w:rPr>
        <w:t>年代世界经济形势变化后，美国通过高关税限制进口来繁荣美国经济。高关税导致出口锐减。这不但伤害了美国的外贸和经济，也带来了一场世界性的经济危机。在这种情况下，</w:t>
      </w:r>
      <w:r>
        <w:rPr>
          <w:sz w:val="21"/>
        </w:rPr>
        <w:t>1934</w:t>
      </w:r>
      <w:r>
        <w:rPr>
          <w:rFonts w:ascii="楷体" w:hAnsi="楷体" w:eastAsia="楷体" w:cs="楷体"/>
          <w:sz w:val="21"/>
        </w:rPr>
        <w:t>年互惠贸易协定法应运而生，在签订双边协定时，可以在</w:t>
      </w:r>
      <w:r>
        <w:rPr>
          <w:sz w:val="21"/>
        </w:rPr>
        <w:t>50</w:t>
      </w:r>
      <w:r>
        <w:rPr>
          <w:rFonts w:ascii="楷体" w:hAnsi="楷体" w:eastAsia="楷体" w:cs="楷体"/>
          <w:sz w:val="21"/>
        </w:rPr>
        <w:t>％的幅度以内降低关税。</w:t>
      </w:r>
    </w:p>
    <w:p w14:paraId="55B87979">
      <w:pPr>
        <w:shd w:val="clear" w:color="auto" w:fill="auto"/>
        <w:spacing w:line="360" w:lineRule="auto"/>
        <w:ind w:firstLine="560"/>
        <w:jc w:val="right"/>
        <w:textAlignment w:val="center"/>
        <w:rPr>
          <w:rFonts w:hint="eastAsia" w:ascii="宋体" w:hAnsi="宋体" w:eastAsia="宋体" w:cs="宋体"/>
          <w:sz w:val="21"/>
        </w:rPr>
      </w:pPr>
      <w:r>
        <w:rPr>
          <w:rFonts w:hint="eastAsia" w:ascii="宋体" w:hAnsi="宋体" w:eastAsia="宋体" w:cs="宋体"/>
          <w:sz w:val="21"/>
        </w:rPr>
        <w:t>——摘编自李育良、修月祯《美国关税及贸易政策点评》</w:t>
      </w:r>
    </w:p>
    <w:p w14:paraId="0DB4E4F9">
      <w:pPr>
        <w:shd w:val="clear" w:color="auto" w:fill="auto"/>
        <w:spacing w:line="360" w:lineRule="auto"/>
        <w:jc w:val="left"/>
        <w:textAlignment w:val="center"/>
        <w:rPr>
          <w:sz w:val="21"/>
        </w:rPr>
      </w:pPr>
      <w:r>
        <w:rPr>
          <w:sz w:val="21"/>
        </w:rPr>
        <w:t>(1)根据材料一、二，概括近代中国关税和美国关税的特点。</w:t>
      </w:r>
      <w:r>
        <w:rPr>
          <w:rFonts w:hint="eastAsia"/>
          <w:sz w:val="21"/>
          <w:lang w:eastAsia="zh-CN"/>
        </w:rPr>
        <w:t>（</w:t>
      </w:r>
      <w:r>
        <w:rPr>
          <w:rFonts w:hint="eastAsia"/>
          <w:sz w:val="21"/>
          <w:lang w:val="en-US" w:eastAsia="zh-CN"/>
        </w:rPr>
        <w:t>6分</w:t>
      </w:r>
      <w:r>
        <w:rPr>
          <w:rFonts w:hint="eastAsia"/>
          <w:sz w:val="21"/>
          <w:lang w:eastAsia="zh-CN"/>
        </w:rPr>
        <w:t>）</w:t>
      </w:r>
    </w:p>
    <w:p w14:paraId="7247A571">
      <w:pPr>
        <w:shd w:val="clear" w:color="auto" w:fill="auto"/>
        <w:spacing w:line="360" w:lineRule="auto"/>
        <w:jc w:val="left"/>
        <w:textAlignment w:val="center"/>
        <w:rPr>
          <w:rFonts w:hint="eastAsia"/>
          <w:sz w:val="21"/>
          <w:lang w:eastAsia="zh-CN"/>
        </w:rPr>
      </w:pPr>
      <w:r>
        <w:rPr>
          <w:sz w:val="21"/>
        </w:rPr>
        <w:t>(2)根据材料一、二并结合所学知识，分析近代中美关税自主权不同的原因</w:t>
      </w:r>
      <w:r>
        <w:rPr>
          <w:rFonts w:hint="eastAsia"/>
          <w:sz w:val="21"/>
          <w:lang w:val="en-US" w:eastAsia="zh-CN"/>
        </w:rPr>
        <w:t>以及对我国现在对外贸易的启示。</w:t>
      </w:r>
      <w:r>
        <w:rPr>
          <w:rFonts w:hint="eastAsia"/>
          <w:sz w:val="21"/>
          <w:lang w:eastAsia="zh-CN"/>
        </w:rPr>
        <w:t>（</w:t>
      </w:r>
      <w:r>
        <w:rPr>
          <w:rFonts w:hint="eastAsia"/>
          <w:sz w:val="21"/>
          <w:lang w:val="en-US" w:eastAsia="zh-CN"/>
        </w:rPr>
        <w:t>6分</w:t>
      </w:r>
      <w:r>
        <w:rPr>
          <w:rFonts w:hint="eastAsia"/>
          <w:sz w:val="21"/>
          <w:lang w:eastAsia="zh-CN"/>
        </w:rPr>
        <w:t>）</w:t>
      </w:r>
    </w:p>
    <w:p w14:paraId="1ED5DBEA">
      <w:pPr>
        <w:shd w:val="clear" w:color="auto" w:fill="auto"/>
        <w:spacing w:line="360" w:lineRule="auto"/>
        <w:jc w:val="left"/>
        <w:textAlignment w:val="center"/>
        <w:rPr>
          <w:rFonts w:hint="eastAsia"/>
          <w:sz w:val="21"/>
          <w:lang w:eastAsia="zh-CN"/>
        </w:rPr>
      </w:pPr>
    </w:p>
    <w:p w14:paraId="403FFFF9">
      <w:pPr>
        <w:shd w:val="clear" w:color="auto" w:fill="auto"/>
        <w:spacing w:line="360" w:lineRule="auto"/>
        <w:jc w:val="left"/>
        <w:textAlignment w:val="center"/>
        <w:rPr>
          <w:rFonts w:hint="eastAsia"/>
          <w:sz w:val="21"/>
          <w:lang w:eastAsia="zh-CN"/>
        </w:rPr>
      </w:pPr>
    </w:p>
    <w:p w14:paraId="2C5509FD">
      <w:pPr>
        <w:shd w:val="clear" w:color="auto" w:fill="auto"/>
        <w:spacing w:line="360" w:lineRule="auto"/>
        <w:jc w:val="left"/>
        <w:textAlignment w:val="center"/>
        <w:rPr>
          <w:rFonts w:hint="eastAsia"/>
          <w:sz w:val="21"/>
          <w:lang w:eastAsia="zh-CN"/>
        </w:rPr>
      </w:pPr>
    </w:p>
    <w:p w14:paraId="30480B8A">
      <w:pPr>
        <w:shd w:val="clear" w:color="auto" w:fill="auto"/>
        <w:spacing w:line="360" w:lineRule="auto"/>
        <w:jc w:val="left"/>
        <w:textAlignment w:val="center"/>
        <w:rPr>
          <w:sz w:val="21"/>
        </w:rPr>
      </w:pPr>
      <w:r>
        <w:rPr>
          <w:sz w:val="21"/>
        </w:rPr>
        <w:t>20．</w:t>
      </w:r>
      <w:r>
        <w:rPr>
          <w:rFonts w:hint="eastAsia"/>
          <w:color w:val="000000"/>
        </w:rPr>
        <w:t>(12分)</w:t>
      </w:r>
      <w:r>
        <w:rPr>
          <w:sz w:val="21"/>
        </w:rPr>
        <w:t>阅读材料，完成下列要求。</w:t>
      </w:r>
    </w:p>
    <w:p w14:paraId="56FB30D9">
      <w:pPr>
        <w:shd w:val="clear" w:color="auto" w:fill="auto"/>
        <w:spacing w:line="360" w:lineRule="auto"/>
        <w:jc w:val="left"/>
        <w:textAlignment w:val="center"/>
        <w:rPr>
          <w:sz w:val="21"/>
        </w:rPr>
      </w:pPr>
      <w:r>
        <w:rPr>
          <w:rFonts w:hint="eastAsia" w:ascii="宋体" w:hAnsi="宋体" w:eastAsia="宋体" w:cs="宋体"/>
          <w:sz w:val="21"/>
          <w:szCs w:val="21"/>
        </w:rPr>
        <w:t>材料</w:t>
      </w:r>
      <w:r>
        <w:rPr>
          <w:rFonts w:ascii="Times New Roman" w:hAnsi="Times New Roman" w:eastAsia="Times New Roman" w:cs="Times New Roman"/>
          <w:kern w:val="0"/>
          <w:sz w:val="21"/>
          <w:szCs w:val="21"/>
        </w:rPr>
        <w:t> </w:t>
      </w:r>
      <w:r>
        <w:rPr>
          <w:rFonts w:ascii="Times New Roman" w:hAnsi="Times New Roman" w:eastAsia="Times New Roman" w:cs="Times New Roman"/>
          <w:kern w:val="0"/>
          <w:sz w:val="24"/>
          <w:szCs w:val="24"/>
        </w:rPr>
        <w:t> </w:t>
      </w:r>
      <w:r>
        <w:rPr>
          <w:rFonts w:ascii="楷体" w:hAnsi="楷体" w:eastAsia="楷体" w:cs="楷体"/>
          <w:sz w:val="21"/>
        </w:rPr>
        <w:t>以下为斯塔夫里阿诺斯所著《全球通史》（下册）一书中的目录。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95"/>
      </w:tblGrid>
      <w:tr w14:paraId="1187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C0A46">
            <w:pPr>
              <w:shd w:val="clear" w:color="auto" w:fill="auto"/>
              <w:spacing w:line="360" w:lineRule="auto"/>
              <w:jc w:val="left"/>
              <w:textAlignment w:val="center"/>
              <w:rPr>
                <w:sz w:val="21"/>
              </w:rPr>
            </w:pPr>
            <w:r>
              <w:rPr>
                <w:rFonts w:ascii="楷体" w:hAnsi="楷体" w:eastAsia="楷体" w:cs="楷体"/>
                <w:sz w:val="21"/>
              </w:rPr>
              <w:t>第五编</w:t>
            </w:r>
            <w:r>
              <w:rPr>
                <w:rFonts w:hint="eastAsia" w:ascii="楷体" w:hAnsi="楷体" w:eastAsia="楷体" w:cs="楷体"/>
                <w:sz w:val="21"/>
                <w:lang w:val="en-US" w:eastAsia="zh-CN"/>
              </w:rPr>
              <w:t xml:space="preserve">  </w:t>
            </w:r>
            <w:r>
              <w:rPr>
                <w:rFonts w:ascii="楷体" w:hAnsi="楷体" w:eastAsia="楷体" w:cs="楷体"/>
                <w:sz w:val="21"/>
              </w:rPr>
              <w:t>公元</w:t>
            </w:r>
            <w:r>
              <w:rPr>
                <w:sz w:val="21"/>
              </w:rPr>
              <w:t>1500</w:t>
            </w:r>
            <w:r>
              <w:rPr>
                <w:rFonts w:ascii="楷体" w:hAnsi="楷体" w:eastAsia="楷体" w:cs="楷体"/>
                <w:sz w:val="21"/>
              </w:rPr>
              <w:t>年以前各孤立地区的世界</w:t>
            </w:r>
          </w:p>
          <w:p w14:paraId="4EC83332">
            <w:pPr>
              <w:shd w:val="clear" w:color="auto" w:fill="auto"/>
              <w:spacing w:line="360" w:lineRule="auto"/>
              <w:jc w:val="left"/>
              <w:textAlignment w:val="center"/>
              <w:rPr>
                <w:sz w:val="21"/>
              </w:rPr>
            </w:pPr>
            <w:r>
              <w:rPr>
                <w:rFonts w:ascii="楷体" w:hAnsi="楷体" w:eastAsia="楷体" w:cs="楷体"/>
                <w:sz w:val="21"/>
              </w:rPr>
              <w:t>第六编</w:t>
            </w:r>
            <w:r>
              <w:rPr>
                <w:rFonts w:hint="eastAsia" w:ascii="楷体" w:hAnsi="楷体" w:eastAsia="楷体" w:cs="楷体"/>
                <w:sz w:val="21"/>
                <w:lang w:val="en-US" w:eastAsia="zh-CN"/>
              </w:rPr>
              <w:t xml:space="preserve">  </w:t>
            </w:r>
            <w:r>
              <w:rPr>
                <w:rFonts w:ascii="楷体" w:hAnsi="楷体" w:eastAsia="楷体" w:cs="楷体"/>
                <w:sz w:val="21"/>
              </w:rPr>
              <w:t>西方崛起时的世界（公元</w:t>
            </w:r>
            <w:r>
              <w:rPr>
                <w:sz w:val="21"/>
              </w:rPr>
              <w:t>1500</w:t>
            </w:r>
            <w:r>
              <w:rPr>
                <w:rFonts w:ascii="楷体" w:hAnsi="楷体" w:eastAsia="楷体" w:cs="楷体"/>
                <w:sz w:val="21"/>
              </w:rPr>
              <w:t>—</w:t>
            </w:r>
            <w:r>
              <w:rPr>
                <w:sz w:val="21"/>
              </w:rPr>
              <w:t>1763</w:t>
            </w:r>
            <w:r>
              <w:rPr>
                <w:rFonts w:ascii="楷体" w:hAnsi="楷体" w:eastAsia="楷体" w:cs="楷体"/>
                <w:sz w:val="21"/>
              </w:rPr>
              <w:t>年）</w:t>
            </w:r>
          </w:p>
          <w:p w14:paraId="778C4A09">
            <w:pPr>
              <w:shd w:val="clear" w:color="auto" w:fill="auto"/>
              <w:spacing w:line="360" w:lineRule="auto"/>
              <w:jc w:val="left"/>
              <w:textAlignment w:val="center"/>
              <w:rPr>
                <w:sz w:val="21"/>
              </w:rPr>
            </w:pPr>
            <w:r>
              <w:rPr>
                <w:rFonts w:ascii="楷体" w:hAnsi="楷体" w:eastAsia="楷体" w:cs="楷体"/>
                <w:sz w:val="21"/>
              </w:rPr>
              <w:t>第七编</w:t>
            </w:r>
            <w:r>
              <w:rPr>
                <w:rFonts w:hint="eastAsia" w:ascii="楷体" w:hAnsi="楷体" w:eastAsia="楷体" w:cs="楷体"/>
                <w:sz w:val="21"/>
                <w:lang w:val="en-US" w:eastAsia="zh-CN"/>
              </w:rPr>
              <w:t xml:space="preserve">  </w:t>
            </w:r>
            <w:r>
              <w:rPr>
                <w:rFonts w:ascii="楷体" w:hAnsi="楷体" w:eastAsia="楷体" w:cs="楷体"/>
                <w:sz w:val="21"/>
              </w:rPr>
              <w:t>西方据优势地位时的世界（公元</w:t>
            </w:r>
            <w:r>
              <w:rPr>
                <w:sz w:val="21"/>
              </w:rPr>
              <w:t>1763</w:t>
            </w:r>
            <w:r>
              <w:rPr>
                <w:rFonts w:ascii="楷体" w:hAnsi="楷体" w:eastAsia="楷体" w:cs="楷体"/>
                <w:sz w:val="21"/>
              </w:rPr>
              <w:t>—</w:t>
            </w:r>
            <w:r>
              <w:rPr>
                <w:sz w:val="21"/>
              </w:rPr>
              <w:t>1914</w:t>
            </w:r>
            <w:r>
              <w:rPr>
                <w:rFonts w:ascii="楷体" w:hAnsi="楷体" w:eastAsia="楷体" w:cs="楷体"/>
                <w:sz w:val="21"/>
              </w:rPr>
              <w:t>年）</w:t>
            </w:r>
          </w:p>
          <w:p w14:paraId="55106AC3">
            <w:pPr>
              <w:shd w:val="clear" w:color="auto" w:fill="auto"/>
              <w:spacing w:line="360" w:lineRule="auto"/>
              <w:jc w:val="left"/>
              <w:textAlignment w:val="center"/>
              <w:rPr>
                <w:sz w:val="21"/>
              </w:rPr>
            </w:pPr>
            <w:r>
              <w:rPr>
                <w:rFonts w:ascii="楷体" w:hAnsi="楷体" w:eastAsia="楷体" w:cs="楷体"/>
                <w:sz w:val="21"/>
              </w:rPr>
              <w:t>第八编</w:t>
            </w:r>
            <w:r>
              <w:rPr>
                <w:rFonts w:hint="eastAsia" w:ascii="楷体" w:hAnsi="楷体" w:eastAsia="楷体" w:cs="楷体"/>
                <w:sz w:val="21"/>
                <w:lang w:val="en-US" w:eastAsia="zh-CN"/>
              </w:rPr>
              <w:t xml:space="preserve">  </w:t>
            </w:r>
            <w:r>
              <w:rPr>
                <w:sz w:val="21"/>
              </w:rPr>
              <w:t>1914</w:t>
            </w:r>
            <w:r>
              <w:rPr>
                <w:rFonts w:ascii="楷体" w:hAnsi="楷体" w:eastAsia="楷体" w:cs="楷体"/>
                <w:sz w:val="21"/>
              </w:rPr>
              <w:t>年以来西方衰落与成功的世界</w:t>
            </w:r>
          </w:p>
        </w:tc>
      </w:tr>
    </w:tbl>
    <w:p w14:paraId="58341B4E">
      <w:pPr>
        <w:shd w:val="clear" w:color="auto" w:fill="auto"/>
        <w:spacing w:line="360" w:lineRule="auto"/>
        <w:jc w:val="left"/>
        <w:textAlignment w:val="center"/>
        <w:rPr>
          <w:sz w:val="21"/>
        </w:rPr>
      </w:pPr>
      <w:r>
        <w:rPr>
          <w:sz w:val="21"/>
        </w:rPr>
        <w:t>结合世界近现代史知识，选择其中一编，为其设计三个子目，并阐述理由。（要求：明确选择的编目，所设计的子目须与作者划定时段的时代主旨内涵一致，表述合理，史论结合，逻辑清晰）</w:t>
      </w:r>
    </w:p>
    <w:p w14:paraId="12C6B1B4">
      <w:pPr>
        <w:shd w:val="clear" w:color="auto" w:fill="auto"/>
        <w:spacing w:line="360" w:lineRule="auto"/>
        <w:jc w:val="left"/>
        <w:textAlignment w:val="center"/>
        <w:rPr>
          <w:rFonts w:hint="eastAsia" w:eastAsia="宋体"/>
          <w:sz w:val="21"/>
          <w:lang w:eastAsia="zh-CN"/>
        </w:rPr>
      </w:pPr>
    </w:p>
    <w:sectPr>
      <w:headerReference r:id="rId3" w:type="default"/>
      <w:footerReference r:id="rId4" w:type="default"/>
      <w:footerReference r:id="rId5" w:type="even"/>
      <w:pgSz w:w="11907" w:h="16839"/>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D1CFC">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B8C11">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31D98">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9B31D98">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222D1">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942B7"/>
    <w:rsid w:val="001D7A06"/>
    <w:rsid w:val="00284433"/>
    <w:rsid w:val="002A1EC6"/>
    <w:rsid w:val="002E035E"/>
    <w:rsid w:val="003F38F2"/>
    <w:rsid w:val="004151FC"/>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02FC6"/>
    <w:rsid w:val="00C806B0"/>
    <w:rsid w:val="00CF32D6"/>
    <w:rsid w:val="00E476EE"/>
    <w:rsid w:val="00EF035E"/>
    <w:rsid w:val="00F16B29"/>
    <w:rsid w:val="00FA429B"/>
    <w:rsid w:val="0449381C"/>
    <w:rsid w:val="075554F0"/>
    <w:rsid w:val="07E35D35"/>
    <w:rsid w:val="09173EE8"/>
    <w:rsid w:val="0C692CAD"/>
    <w:rsid w:val="0F360E40"/>
    <w:rsid w:val="0FFC1742"/>
    <w:rsid w:val="14B44CE1"/>
    <w:rsid w:val="19706CFD"/>
    <w:rsid w:val="1A9803C7"/>
    <w:rsid w:val="231B23CF"/>
    <w:rsid w:val="251130A9"/>
    <w:rsid w:val="2675060F"/>
    <w:rsid w:val="276E51C4"/>
    <w:rsid w:val="2AFD34BB"/>
    <w:rsid w:val="2C545A13"/>
    <w:rsid w:val="321921D0"/>
    <w:rsid w:val="40DD2F10"/>
    <w:rsid w:val="4453331F"/>
    <w:rsid w:val="48A95C04"/>
    <w:rsid w:val="4A541B9F"/>
    <w:rsid w:val="4B8D35BB"/>
    <w:rsid w:val="4DC808DA"/>
    <w:rsid w:val="4EFA036F"/>
    <w:rsid w:val="527C7EE5"/>
    <w:rsid w:val="5AD07020"/>
    <w:rsid w:val="5B922527"/>
    <w:rsid w:val="5BF154A0"/>
    <w:rsid w:val="6175447D"/>
    <w:rsid w:val="620B0E7D"/>
    <w:rsid w:val="62C05BCC"/>
    <w:rsid w:val="68953657"/>
    <w:rsid w:val="694766FF"/>
    <w:rsid w:val="6B0F7103"/>
    <w:rsid w:val="6BE64FD6"/>
    <w:rsid w:val="6F524050"/>
    <w:rsid w:val="72D33057"/>
    <w:rsid w:val="77913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2"/>
    <customShpInfo spid="_x0000_s2053"/>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4745</Words>
  <Characters>4967</Characters>
  <Lines>0</Lines>
  <Paragraphs>0</Paragraphs>
  <TotalTime>24</TotalTime>
  <ScaleCrop>false</ScaleCrop>
  <LinksUpToDate>false</LinksUpToDate>
  <CharactersWithSpaces>5080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何京应</dc:creator>
  <cp:lastModifiedBy>何京应</cp:lastModifiedBy>
  <dcterms:modified xsi:type="dcterms:W3CDTF">2025-05-28T08:49:53Z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FC74F7D20FD042098588AF3269E3808D_12</vt:lpwstr>
  </property>
</Properties>
</file>